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楷体" w:hAnsi="楷体" w:eastAsia="楷体" w:cs="楷体"/>
          <w:b/>
          <w:bCs/>
          <w:sz w:val="28"/>
          <w:szCs w:val="28"/>
          <w:lang w:val="en-US" w:eastAsia="zh-CN"/>
        </w:rPr>
      </w:pPr>
      <w:r>
        <w:rPr>
          <w:rFonts w:hint="eastAsia" w:ascii="楷体" w:hAnsi="楷体" w:eastAsia="楷体" w:cs="楷体"/>
          <w:b/>
          <w:bCs/>
          <w:sz w:val="28"/>
          <w:szCs w:val="28"/>
          <w:lang w:val="en-US" w:eastAsia="zh-CN"/>
        </w:rPr>
        <w:t>2022年马克思主义学院工作总结</w:t>
      </w:r>
    </w:p>
    <w:p>
      <w:pPr>
        <w:jc w:val="center"/>
        <w:rPr>
          <w:rFonts w:hint="eastAsia" w:ascii="黑体" w:hAnsi="黑体" w:eastAsia="黑体" w:cs="黑体"/>
          <w:b/>
          <w:bCs/>
          <w:sz w:val="32"/>
          <w:szCs w:val="32"/>
        </w:rPr>
      </w:pPr>
      <w:r>
        <w:rPr>
          <w:rFonts w:hint="eastAsia" w:ascii="黑体" w:hAnsi="黑体" w:eastAsia="黑体" w:cs="黑体"/>
          <w:b/>
          <w:bCs/>
          <w:sz w:val="32"/>
          <w:szCs w:val="32"/>
        </w:rPr>
        <w:t>突出重点  聚焦教学</w:t>
      </w: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rPr>
        <w:t>进一步夯实马院发展基础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202</w:t>
      </w:r>
      <w:r>
        <w:rPr>
          <w:rFonts w:hint="eastAsia"/>
          <w:sz w:val="24"/>
          <w:szCs w:val="24"/>
          <w:lang w:val="en-US" w:eastAsia="zh-CN"/>
        </w:rPr>
        <w:t>1</w:t>
      </w:r>
      <w:r>
        <w:rPr>
          <w:rFonts w:hint="eastAsia"/>
          <w:sz w:val="24"/>
          <w:szCs w:val="24"/>
        </w:rPr>
        <w:t>年</w:t>
      </w:r>
      <w:r>
        <w:rPr>
          <w:rFonts w:hint="eastAsia"/>
          <w:sz w:val="24"/>
          <w:szCs w:val="24"/>
          <w:lang w:val="en-US" w:eastAsia="zh-CN"/>
        </w:rPr>
        <w:t>述职报告中，我讲到：2022年，</w:t>
      </w:r>
      <w:r>
        <w:rPr>
          <w:rFonts w:hint="eastAsia"/>
          <w:sz w:val="24"/>
          <w:szCs w:val="24"/>
        </w:rPr>
        <w:t>马克思主义学院将秉承既仰望星空，同时更加脚踏实地的原则，坚定不移以省一流民办高校马院建设为远大理想，以教育部样板支部建设为牵引，以辽宁省第十一届思政课比赛、省级教改科研课题、艺术思政基地建设三项活动为抓手，砥砺奋斗，攻坚克难，在建设一流马院的征途上取得比2021年更靓丽的成绩，为实现大艺梦做一份自己的贡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2022年，</w:t>
      </w:r>
      <w:r>
        <w:rPr>
          <w:rFonts w:hint="eastAsia"/>
          <w:sz w:val="24"/>
          <w:szCs w:val="24"/>
          <w:lang w:val="en-US" w:eastAsia="zh-CN"/>
        </w:rPr>
        <w:t>我们按此计划，</w:t>
      </w:r>
      <w:r>
        <w:rPr>
          <w:rFonts w:hint="eastAsia"/>
          <w:sz w:val="24"/>
          <w:szCs w:val="24"/>
        </w:rPr>
        <w:t>在学校两委会直接领导关怀下，在大思政理念的引领下，弘扬“心</w:t>
      </w:r>
      <w:r>
        <w:rPr>
          <w:rFonts w:hint="eastAsia"/>
          <w:sz w:val="24"/>
          <w:szCs w:val="24"/>
          <w:lang w:val="en-US" w:eastAsia="zh-CN"/>
        </w:rPr>
        <w:t>装</w:t>
      </w:r>
      <w:r>
        <w:rPr>
          <w:rFonts w:hint="eastAsia"/>
          <w:sz w:val="24"/>
          <w:szCs w:val="24"/>
        </w:rPr>
        <w:t>大艺、自信自强、守正创新、攻坚克难”的精神，突出重点，聚焦教学，以新的成绩进一步夯实马院建设发展基础。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t>一、学院承担重点工作完成情况和年度创新型工作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1.积极参加《辽宁之歌》（《光荣·梦想》）的创排工作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lang w:val="en-US" w:eastAsia="zh-CN"/>
        </w:rPr>
        <w:t>受辽宁省教育工作委员会和辽宁省教育厅创排</w:t>
      </w:r>
      <w:r>
        <w:rPr>
          <w:rFonts w:hint="eastAsia"/>
          <w:sz w:val="24"/>
          <w:szCs w:val="24"/>
        </w:rPr>
        <w:t>《辽宁之歌》（《光荣·梦想》）</w:t>
      </w:r>
      <w:r>
        <w:rPr>
          <w:rFonts w:hint="eastAsia"/>
          <w:sz w:val="24"/>
          <w:szCs w:val="24"/>
          <w:lang w:eastAsia="zh-CN"/>
        </w:rPr>
        <w:t>，</w:t>
      </w:r>
      <w:r>
        <w:rPr>
          <w:rFonts w:hint="eastAsia"/>
          <w:sz w:val="24"/>
          <w:szCs w:val="24"/>
          <w:lang w:val="en-US" w:eastAsia="zh-CN"/>
        </w:rPr>
        <w:t>赓续红色血脉，传承红色基因，激发全国人民、特别是辽宁人民奋力投身实现中华民族伟大复兴，实现东北全面振兴、全方位振兴的精气神，这是学校大思政剧目创排的重大发展，是今年学校重中之重的工作。在党委书记、董事长的亲自策划、直接领导下，学校三个月完成剧本创作，二十天时间完成排练，在6月23日、24日在大连开发区大剧院上演，再次创造大艺奇迹。宋延军院长，任引沁自始至终参与了剧本的采风、创作，把关剧本创新的思想政治工作，组建临时党支部，负责剧组的思想政治工作，努力探索党建引领下的思政课程、课程思政、剧目思政的“三驱动”大思政工作模式。郝树满书记担任了</w:t>
      </w:r>
      <w:r>
        <w:rPr>
          <w:rFonts w:hint="eastAsia"/>
          <w:sz w:val="24"/>
          <w:szCs w:val="24"/>
        </w:rPr>
        <w:t>《光荣·梦想》</w:t>
      </w:r>
      <w:r>
        <w:rPr>
          <w:rFonts w:hint="eastAsia"/>
          <w:sz w:val="24"/>
          <w:szCs w:val="24"/>
          <w:lang w:val="en-US" w:eastAsia="zh-CN"/>
        </w:rPr>
        <w:t>临时党支部书记，领导剧目创排的党建和思政工作。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附表  马院教师承担</w:t>
      </w:r>
      <w:r>
        <w:rPr>
          <w:rFonts w:hint="eastAsia"/>
          <w:b/>
          <w:bCs/>
          <w:sz w:val="24"/>
          <w:szCs w:val="24"/>
        </w:rPr>
        <w:t>《辽宁之歌》</w:t>
      </w:r>
      <w:r>
        <w:rPr>
          <w:rFonts w:hint="eastAsia"/>
          <w:b/>
          <w:bCs/>
          <w:sz w:val="24"/>
          <w:szCs w:val="24"/>
          <w:lang w:val="en-US" w:eastAsia="zh-CN"/>
        </w:rPr>
        <w:t>科研课题</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7"/>
        <w:gridCol w:w="4890"/>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lang w:val="en-US" w:eastAsia="zh-CN"/>
              </w:rPr>
            </w:pPr>
            <w:r>
              <w:rPr>
                <w:rFonts w:hint="eastAsia"/>
                <w:lang w:val="en-US" w:eastAsia="zh-CN"/>
              </w:rPr>
              <w:t>课题类型</w:t>
            </w:r>
          </w:p>
        </w:tc>
        <w:tc>
          <w:tcPr>
            <w:tcW w:w="4890" w:type="dxa"/>
            <w:vAlign w:val="top"/>
          </w:tcPr>
          <w:p>
            <w:pPr>
              <w:widowControl w:val="0"/>
              <w:jc w:val="both"/>
              <w:rPr>
                <w:rFonts w:hint="default" w:eastAsiaTheme="minorEastAsia"/>
                <w:lang w:val="en-US" w:eastAsia="zh-CN"/>
              </w:rPr>
            </w:pPr>
            <w:r>
              <w:rPr>
                <w:rFonts w:hint="eastAsia"/>
                <w:lang w:val="en-US" w:eastAsia="zh-CN"/>
              </w:rPr>
              <w:t>课题名称</w:t>
            </w:r>
          </w:p>
        </w:tc>
        <w:tc>
          <w:tcPr>
            <w:tcW w:w="1249" w:type="dxa"/>
            <w:vAlign w:val="top"/>
          </w:tcPr>
          <w:p>
            <w:pPr>
              <w:widowControl w:val="0"/>
              <w:jc w:val="both"/>
              <w:rPr>
                <w:rFonts w:hint="default" w:cstheme="minorBidi"/>
                <w:kern w:val="2"/>
                <w:sz w:val="21"/>
                <w:szCs w:val="24"/>
                <w:lang w:val="en-US" w:eastAsia="zh-CN" w:bidi="ar-SA"/>
              </w:rPr>
            </w:pPr>
            <w:r>
              <w:rPr>
                <w:rFonts w:hint="eastAsia" w:cstheme="minorBidi"/>
                <w:kern w:val="2"/>
                <w:sz w:val="21"/>
                <w:szCs w:val="24"/>
                <w:lang w:val="en-US" w:eastAsia="zh-CN" w:bidi="ar-SA"/>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eastAsiaTheme="minorEastAsia"/>
                <w:lang w:val="en-US" w:eastAsia="zh-CN"/>
              </w:rPr>
            </w:pPr>
            <w:r>
              <w:rPr>
                <w:rFonts w:hint="eastAsia"/>
                <w:lang w:val="en-US" w:eastAsia="zh-CN"/>
              </w:rPr>
              <w:t>辽宁六地红色文化专项课题1</w:t>
            </w:r>
          </w:p>
        </w:tc>
        <w:tc>
          <w:tcPr>
            <w:tcW w:w="4890" w:type="dxa"/>
            <w:vAlign w:val="top"/>
          </w:tcPr>
          <w:p>
            <w:pPr>
              <w:widowControl w:val="0"/>
              <w:jc w:val="both"/>
              <w:rPr>
                <w:rFonts w:hint="eastAsia" w:ascii="Arial" w:hAnsi="Arial" w:cs="Arial" w:eastAsiaTheme="minorEastAsia"/>
                <w:snapToGrid w:val="0"/>
                <w:color w:val="000000"/>
                <w:kern w:val="0"/>
                <w:sz w:val="21"/>
                <w:szCs w:val="21"/>
                <w:lang w:val="en-US" w:eastAsia="zh-CN" w:bidi="ar-SA"/>
              </w:rPr>
            </w:pPr>
            <w:r>
              <w:t xml:space="preserve">辽宁在解放战争中的贡献与作用研究 </w:t>
            </w:r>
          </w:p>
        </w:tc>
        <w:tc>
          <w:tcPr>
            <w:tcW w:w="1249" w:type="dxa"/>
            <w:vAlign w:val="top"/>
          </w:tcPr>
          <w:p>
            <w:pPr>
              <w:widowControl w:val="0"/>
              <w:jc w:val="both"/>
              <w:rPr>
                <w:rFonts w:hint="eastAsia" w:cstheme="minorBidi"/>
                <w:kern w:val="2"/>
                <w:sz w:val="21"/>
                <w:szCs w:val="24"/>
                <w:lang w:val="en-US" w:eastAsia="zh-CN" w:bidi="ar-SA"/>
              </w:rPr>
            </w:pPr>
            <w:r>
              <w:rPr>
                <w:rFonts w:hint="eastAsia" w:cstheme="minorBidi"/>
                <w:kern w:val="2"/>
                <w:sz w:val="21"/>
                <w:szCs w:val="24"/>
                <w:lang w:val="en-US" w:eastAsia="zh-CN" w:bidi="ar-SA"/>
              </w:rPr>
              <w:t>刘国辉</w:t>
            </w:r>
          </w:p>
          <w:p>
            <w:pPr>
              <w:widowControl w:val="0"/>
              <w:jc w:val="both"/>
              <w:rPr>
                <w:rFonts w:hint="default" w:cstheme="minorBidi"/>
                <w:kern w:val="2"/>
                <w:sz w:val="21"/>
                <w:szCs w:val="24"/>
                <w:lang w:val="en-US" w:eastAsia="zh-CN" w:bidi="ar-SA"/>
              </w:rPr>
            </w:pPr>
            <w:r>
              <w:rPr>
                <w:rFonts w:hint="eastAsia" w:cstheme="minorBidi"/>
                <w:kern w:val="2"/>
                <w:sz w:val="21"/>
                <w:szCs w:val="24"/>
                <w:lang w:val="en-US" w:eastAsia="zh-CN" w:bidi="ar-SA"/>
              </w:rPr>
              <w:t>（重点）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lang w:val="en-US"/>
              </w:rPr>
            </w:pPr>
            <w:r>
              <w:rPr>
                <w:rFonts w:hint="eastAsia"/>
                <w:lang w:val="en-US" w:eastAsia="zh-CN"/>
              </w:rPr>
              <w:t>辽宁六地红色文化专项课题2</w:t>
            </w:r>
          </w:p>
        </w:tc>
        <w:tc>
          <w:tcPr>
            <w:tcW w:w="4890" w:type="dxa"/>
            <w:vAlign w:val="top"/>
          </w:tcPr>
          <w:p>
            <w:pPr>
              <w:widowControl w:val="0"/>
              <w:jc w:val="both"/>
              <w:rPr>
                <w:rFonts w:hint="eastAsia" w:ascii="Arial" w:hAnsi="Arial" w:cs="Arial" w:eastAsiaTheme="minorEastAsia"/>
                <w:snapToGrid w:val="0"/>
                <w:color w:val="000000"/>
                <w:kern w:val="0"/>
                <w:sz w:val="21"/>
                <w:szCs w:val="21"/>
                <w:lang w:val="en-US" w:eastAsia="zh-CN" w:bidi="ar-SA"/>
              </w:rPr>
            </w:pPr>
            <w:r>
              <w:rPr>
                <w:rFonts w:hint="eastAsia"/>
              </w:rPr>
              <w:t xml:space="preserve">国歌诞生的历史过程与时代价值研究 </w:t>
            </w:r>
          </w:p>
        </w:tc>
        <w:tc>
          <w:tcPr>
            <w:tcW w:w="1249" w:type="dxa"/>
            <w:vAlign w:val="top"/>
          </w:tcPr>
          <w:p>
            <w:pPr>
              <w:widowControl w:val="0"/>
              <w:jc w:val="both"/>
              <w:rPr>
                <w:rFonts w:hint="default" w:ascii="Arial" w:hAnsi="Arial" w:cs="Arial" w:eastAsiaTheme="minorEastAsia"/>
                <w:snapToGrid w:val="0"/>
                <w:color w:val="000000"/>
                <w:kern w:val="0"/>
                <w:sz w:val="21"/>
                <w:szCs w:val="21"/>
                <w:lang w:val="en-US" w:eastAsia="zh-CN" w:bidi="ar-SA"/>
              </w:rPr>
            </w:pPr>
            <w:r>
              <w:rPr>
                <w:rFonts w:hint="eastAsia" w:ascii="Arial" w:hAnsi="Arial" w:cs="Arial"/>
                <w:snapToGrid w:val="0"/>
                <w:color w:val="000000"/>
                <w:kern w:val="0"/>
                <w:sz w:val="21"/>
                <w:szCs w:val="21"/>
                <w:lang w:val="en-US" w:eastAsia="zh-CN" w:bidi="ar-SA"/>
              </w:rPr>
              <w:t>武晓霞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lang w:val="en-US"/>
              </w:rPr>
            </w:pPr>
            <w:r>
              <w:rPr>
                <w:rFonts w:hint="eastAsia"/>
                <w:lang w:val="en-US" w:eastAsia="zh-CN"/>
              </w:rPr>
              <w:t>辽宁六地红色文化专项课题3</w:t>
            </w:r>
          </w:p>
        </w:tc>
        <w:tc>
          <w:tcPr>
            <w:tcW w:w="4890" w:type="dxa"/>
            <w:vAlign w:val="top"/>
          </w:tcPr>
          <w:p>
            <w:pPr>
              <w:widowControl w:val="0"/>
              <w:jc w:val="both"/>
              <w:rPr>
                <w:rFonts w:hint="eastAsia" w:ascii="Arial" w:hAnsi="Arial" w:cs="Arial" w:eastAsiaTheme="minorEastAsia"/>
                <w:snapToGrid w:val="0"/>
                <w:color w:val="000000"/>
                <w:kern w:val="0"/>
                <w:sz w:val="21"/>
                <w:szCs w:val="21"/>
                <w:lang w:val="en-US" w:eastAsia="zh-CN" w:bidi="ar-SA"/>
              </w:rPr>
            </w:pPr>
            <w:r>
              <w:t xml:space="preserve">辽宁“五大安全”战略下抗美援朝精神的价值研究 </w:t>
            </w:r>
          </w:p>
        </w:tc>
        <w:tc>
          <w:tcPr>
            <w:tcW w:w="1249" w:type="dxa"/>
            <w:vAlign w:val="top"/>
          </w:tcPr>
          <w:p>
            <w:pPr>
              <w:widowControl w:val="0"/>
              <w:jc w:val="both"/>
              <w:rPr>
                <w:rFonts w:hint="default" w:ascii="Arial" w:hAnsi="Arial" w:cs="Arial" w:eastAsiaTheme="minorEastAsia"/>
                <w:snapToGrid w:val="0"/>
                <w:color w:val="000000"/>
                <w:kern w:val="0"/>
                <w:sz w:val="21"/>
                <w:szCs w:val="21"/>
                <w:lang w:val="en-US" w:eastAsia="zh-CN" w:bidi="ar-SA"/>
              </w:rPr>
            </w:pPr>
            <w:r>
              <w:rPr>
                <w:rFonts w:hint="eastAsia" w:ascii="Arial" w:hAnsi="Arial" w:cs="Arial"/>
                <w:snapToGrid w:val="0"/>
                <w:color w:val="000000"/>
                <w:kern w:val="0"/>
                <w:sz w:val="21"/>
                <w:szCs w:val="21"/>
                <w:lang w:val="en-US" w:eastAsia="zh-CN" w:bidi="ar-SA"/>
              </w:rPr>
              <w:t>亢莹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lang w:val="en-US"/>
              </w:rPr>
            </w:pPr>
            <w:r>
              <w:rPr>
                <w:rFonts w:hint="eastAsia"/>
                <w:lang w:val="en-US" w:eastAsia="zh-CN"/>
              </w:rPr>
              <w:t>辽宁六地红色文化专项课题4</w:t>
            </w:r>
          </w:p>
        </w:tc>
        <w:tc>
          <w:tcPr>
            <w:tcW w:w="4890" w:type="dxa"/>
            <w:vAlign w:val="top"/>
          </w:tcPr>
          <w:p>
            <w:pPr>
              <w:widowControl w:val="0"/>
              <w:jc w:val="both"/>
              <w:rPr>
                <w:rFonts w:hint="eastAsia" w:ascii="Arial" w:hAnsi="Arial" w:cs="Arial" w:eastAsiaTheme="minorEastAsia"/>
                <w:snapToGrid w:val="0"/>
                <w:color w:val="000000"/>
                <w:kern w:val="0"/>
                <w:sz w:val="21"/>
                <w:szCs w:val="21"/>
                <w:lang w:val="en-US" w:eastAsia="zh-CN" w:bidi="ar-SA"/>
              </w:rPr>
            </w:pPr>
            <w:r>
              <w:t xml:space="preserve">辽宁高校传承雷锋精神构筑思政育人长效机制研究 </w:t>
            </w:r>
          </w:p>
        </w:tc>
        <w:tc>
          <w:tcPr>
            <w:tcW w:w="1249" w:type="dxa"/>
            <w:vAlign w:val="top"/>
          </w:tcPr>
          <w:p>
            <w:pPr>
              <w:widowControl w:val="0"/>
              <w:jc w:val="both"/>
              <w:rPr>
                <w:rFonts w:hint="default" w:ascii="Arial" w:hAnsi="Arial" w:cs="Arial" w:eastAsiaTheme="minorEastAsia"/>
                <w:snapToGrid w:val="0"/>
                <w:color w:val="000000"/>
                <w:kern w:val="0"/>
                <w:sz w:val="21"/>
                <w:szCs w:val="21"/>
                <w:lang w:val="en-US" w:eastAsia="zh-CN" w:bidi="ar-SA"/>
              </w:rPr>
            </w:pPr>
            <w:r>
              <w:rPr>
                <w:rFonts w:hint="eastAsia" w:ascii="Arial" w:hAnsi="Arial" w:cs="Arial"/>
                <w:snapToGrid w:val="0"/>
                <w:color w:val="000000"/>
                <w:kern w:val="0"/>
                <w:sz w:val="21"/>
                <w:szCs w:val="21"/>
                <w:lang w:val="en-US" w:eastAsia="zh-CN" w:bidi="ar-SA"/>
              </w:rPr>
              <w:t>董娇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ascii="Arial" w:hAnsi="Arial" w:cs="Arial" w:eastAsiaTheme="minorEastAsia"/>
                <w:snapToGrid w:val="0"/>
                <w:color w:val="000000"/>
                <w:kern w:val="0"/>
                <w:sz w:val="21"/>
                <w:szCs w:val="21"/>
                <w:lang w:val="en-US" w:eastAsia="zh-CN" w:bidi="ar-SA"/>
              </w:rPr>
            </w:pPr>
            <w:r>
              <w:rPr>
                <w:rFonts w:hint="eastAsia"/>
                <w:lang w:val="en-US" w:eastAsia="zh-CN"/>
              </w:rPr>
              <w:t>辽宁六地红色文化专项课题5</w:t>
            </w:r>
          </w:p>
        </w:tc>
        <w:tc>
          <w:tcPr>
            <w:tcW w:w="4890" w:type="dxa"/>
            <w:vAlign w:val="top"/>
          </w:tcPr>
          <w:p>
            <w:pPr>
              <w:widowControl w:val="0"/>
              <w:jc w:val="both"/>
            </w:pPr>
            <w:r>
              <w:t xml:space="preserve">新时代辽宁红色文化融入高校思想政治教育研究 </w:t>
            </w:r>
          </w:p>
          <w:p>
            <w:pPr>
              <w:widowControl w:val="0"/>
              <w:jc w:val="both"/>
              <w:rPr>
                <w:rFonts w:hint="eastAsia" w:ascii="Arial" w:hAnsi="Arial" w:cs="Arial" w:eastAsiaTheme="minorEastAsia"/>
                <w:snapToGrid w:val="0"/>
                <w:color w:val="000000"/>
                <w:kern w:val="0"/>
                <w:sz w:val="21"/>
                <w:szCs w:val="21"/>
                <w:lang w:val="en-US" w:eastAsia="zh-CN" w:bidi="ar-SA"/>
              </w:rPr>
            </w:pPr>
          </w:p>
        </w:tc>
        <w:tc>
          <w:tcPr>
            <w:tcW w:w="1249" w:type="dxa"/>
            <w:vAlign w:val="top"/>
          </w:tcPr>
          <w:p>
            <w:pPr>
              <w:widowControl w:val="0"/>
              <w:jc w:val="both"/>
              <w:rPr>
                <w:rFonts w:hint="default" w:ascii="Arial" w:hAnsi="Arial" w:cs="Arial" w:eastAsiaTheme="minorEastAsia"/>
                <w:snapToGrid w:val="0"/>
                <w:color w:val="000000"/>
                <w:kern w:val="0"/>
                <w:sz w:val="21"/>
                <w:szCs w:val="21"/>
                <w:lang w:val="en-US" w:eastAsia="zh-CN" w:bidi="ar-SA"/>
              </w:rPr>
            </w:pPr>
            <w:r>
              <w:rPr>
                <w:rFonts w:hint="eastAsia" w:ascii="Arial" w:hAnsi="Arial" w:cs="Arial"/>
                <w:snapToGrid w:val="0"/>
                <w:color w:val="000000"/>
                <w:kern w:val="0"/>
                <w:sz w:val="21"/>
                <w:szCs w:val="21"/>
                <w:lang w:val="en-US" w:eastAsia="zh-CN" w:bidi="ar-SA"/>
              </w:rPr>
              <w:t>申婷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lang w:val="en-US"/>
              </w:rPr>
            </w:pPr>
            <w:r>
              <w:rPr>
                <w:rFonts w:hint="eastAsia"/>
                <w:lang w:val="en-US" w:eastAsia="zh-CN"/>
              </w:rPr>
              <w:t>辽宁六地红色文化专项课题6</w:t>
            </w:r>
          </w:p>
        </w:tc>
        <w:tc>
          <w:tcPr>
            <w:tcW w:w="4890" w:type="dxa"/>
            <w:vAlign w:val="top"/>
          </w:tcPr>
          <w:p>
            <w:pPr>
              <w:widowControl w:val="0"/>
              <w:jc w:val="both"/>
              <w:rPr>
                <w:rFonts w:hint="eastAsia" w:ascii="Arial" w:hAnsi="Arial" w:cs="Arial" w:eastAsiaTheme="minorEastAsia"/>
                <w:snapToGrid w:val="0"/>
                <w:color w:val="000000"/>
                <w:kern w:val="0"/>
                <w:sz w:val="21"/>
                <w:szCs w:val="21"/>
                <w:lang w:val="en-US" w:eastAsia="zh-CN" w:bidi="ar-SA"/>
              </w:rPr>
            </w:pPr>
            <w:r>
              <w:t xml:space="preserve">依托辽宁红色文化资源的校馆共建式大学生思想政治教育模式研究 </w:t>
            </w:r>
          </w:p>
        </w:tc>
        <w:tc>
          <w:tcPr>
            <w:tcW w:w="1249" w:type="dxa"/>
            <w:vAlign w:val="top"/>
          </w:tcPr>
          <w:p>
            <w:pPr>
              <w:widowControl w:val="0"/>
              <w:jc w:val="both"/>
              <w:rPr>
                <w:rFonts w:hint="default" w:ascii="Arial" w:hAnsi="Arial" w:cs="Arial" w:eastAsiaTheme="minorEastAsia"/>
                <w:snapToGrid w:val="0"/>
                <w:color w:val="000000"/>
                <w:kern w:val="0"/>
                <w:sz w:val="21"/>
                <w:szCs w:val="21"/>
                <w:lang w:val="en-US" w:eastAsia="zh-CN" w:bidi="ar-SA"/>
              </w:rPr>
            </w:pPr>
            <w:r>
              <w:rPr>
                <w:rFonts w:hint="eastAsia" w:ascii="Arial" w:hAnsi="Arial" w:cs="Arial"/>
                <w:snapToGrid w:val="0"/>
                <w:color w:val="000000"/>
                <w:kern w:val="0"/>
                <w:sz w:val="21"/>
                <w:szCs w:val="21"/>
                <w:lang w:val="en-US" w:eastAsia="zh-CN" w:bidi="ar-SA"/>
              </w:rPr>
              <w:t>张朝霞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lang w:val="en-US"/>
              </w:rPr>
            </w:pPr>
            <w:r>
              <w:rPr>
                <w:rFonts w:hint="eastAsia"/>
                <w:lang w:val="en-US" w:eastAsia="zh-CN"/>
              </w:rPr>
              <w:t>辽宁六地红色文化专项课题7</w:t>
            </w:r>
          </w:p>
        </w:tc>
        <w:tc>
          <w:tcPr>
            <w:tcW w:w="4890" w:type="dxa"/>
            <w:vAlign w:val="top"/>
          </w:tcPr>
          <w:p>
            <w:pPr>
              <w:widowControl w:val="0"/>
              <w:jc w:val="both"/>
              <w:rPr>
                <w:rFonts w:hint="eastAsia" w:ascii="Arial" w:hAnsi="Arial" w:cs="Arial" w:eastAsiaTheme="minorEastAsia"/>
                <w:snapToGrid w:val="0"/>
                <w:color w:val="000000"/>
                <w:kern w:val="0"/>
                <w:sz w:val="21"/>
                <w:szCs w:val="21"/>
                <w:lang w:val="en-US" w:eastAsia="zh-CN" w:bidi="ar-SA"/>
              </w:rPr>
            </w:pPr>
            <w:r>
              <w:t>区域红色文化融入艺术专业英语教学探究</w:t>
            </w:r>
          </w:p>
        </w:tc>
        <w:tc>
          <w:tcPr>
            <w:tcW w:w="1249" w:type="dxa"/>
            <w:vAlign w:val="top"/>
          </w:tcPr>
          <w:p>
            <w:pPr>
              <w:widowControl w:val="0"/>
              <w:jc w:val="both"/>
              <w:rPr>
                <w:rFonts w:hint="default" w:ascii="Arial" w:hAnsi="Arial" w:cs="Arial" w:eastAsiaTheme="minorEastAsia"/>
                <w:snapToGrid w:val="0"/>
                <w:color w:val="000000"/>
                <w:kern w:val="0"/>
                <w:sz w:val="21"/>
                <w:szCs w:val="21"/>
                <w:lang w:val="en-US" w:eastAsia="zh-CN" w:bidi="ar-SA"/>
              </w:rPr>
            </w:pPr>
            <w:r>
              <w:rPr>
                <w:rFonts w:hint="eastAsia" w:ascii="Arial" w:hAnsi="Arial" w:cs="Arial"/>
                <w:snapToGrid w:val="0"/>
                <w:color w:val="000000"/>
                <w:kern w:val="0"/>
                <w:sz w:val="21"/>
                <w:szCs w:val="21"/>
                <w:lang w:val="en-US" w:eastAsia="zh-CN" w:bidi="ar-SA"/>
              </w:rPr>
              <w:t>宋平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lang w:val="en-US"/>
              </w:rPr>
            </w:pPr>
            <w:r>
              <w:rPr>
                <w:rFonts w:hint="eastAsia"/>
                <w:lang w:val="en-US" w:eastAsia="zh-CN"/>
              </w:rPr>
              <w:t>辽宁六地红色文化专项课题8</w:t>
            </w:r>
          </w:p>
        </w:tc>
        <w:tc>
          <w:tcPr>
            <w:tcW w:w="4890" w:type="dxa"/>
            <w:vAlign w:val="top"/>
          </w:tcPr>
          <w:p>
            <w:pPr>
              <w:widowControl w:val="0"/>
              <w:jc w:val="both"/>
              <w:rPr>
                <w:rFonts w:hint="eastAsia" w:ascii="Arial" w:hAnsi="Arial" w:cs="Arial" w:eastAsiaTheme="minorEastAsia"/>
                <w:snapToGrid w:val="0"/>
                <w:color w:val="000000"/>
                <w:kern w:val="0"/>
                <w:sz w:val="21"/>
                <w:szCs w:val="21"/>
                <w:lang w:val="en-US" w:eastAsia="zh-CN" w:bidi="ar-SA"/>
              </w:rPr>
            </w:pPr>
            <w:r>
              <w:t xml:space="preserve">辽宁“六地”红色文化融入大学生党员党性教育的路径研究 </w:t>
            </w:r>
          </w:p>
        </w:tc>
        <w:tc>
          <w:tcPr>
            <w:tcW w:w="1249" w:type="dxa"/>
            <w:vAlign w:val="top"/>
          </w:tcPr>
          <w:p>
            <w:pPr>
              <w:widowControl w:val="0"/>
              <w:jc w:val="both"/>
              <w:rPr>
                <w:rFonts w:hint="default" w:ascii="Arial" w:hAnsi="Arial" w:cs="Arial" w:eastAsiaTheme="minorEastAsia"/>
                <w:snapToGrid w:val="0"/>
                <w:color w:val="000000"/>
                <w:kern w:val="0"/>
                <w:sz w:val="21"/>
                <w:szCs w:val="21"/>
                <w:lang w:val="en-US" w:eastAsia="zh-CN" w:bidi="ar-SA"/>
              </w:rPr>
            </w:pPr>
            <w:r>
              <w:rPr>
                <w:rFonts w:hint="eastAsia" w:ascii="Arial" w:hAnsi="Arial" w:cs="Arial"/>
                <w:snapToGrid w:val="0"/>
                <w:color w:val="000000"/>
                <w:kern w:val="0"/>
                <w:sz w:val="21"/>
                <w:szCs w:val="21"/>
                <w:lang w:val="en-US" w:eastAsia="zh-CN" w:bidi="ar-SA"/>
              </w:rPr>
              <w:t>宋鹤</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思政教研室和综合教研室积极把六地红色资源融入课程，创立了具有辽宁省历史特色的“四史教育”综合课程（1学分，16学时），进一步优化了“军事英雄谱系”课程。这两门课程被选为学校辽宁六地红色文化资源课程示范课程、名师教学团队。武晓霞团队获得学校首批线上优秀教学团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附表  马院校级示范课程和名师教学团队</w:t>
      </w:r>
    </w:p>
    <w:tbl>
      <w:tblPr>
        <w:tblStyle w:val="5"/>
        <w:tblW w:w="8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9"/>
        <w:gridCol w:w="1884"/>
        <w:gridCol w:w="3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9" w:type="dxa"/>
            <w:vAlign w:val="top"/>
          </w:tcPr>
          <w:p>
            <w:pPr>
              <w:jc w:val="left"/>
              <w:rPr>
                <w:rFonts w:hint="eastAsia" w:asciiTheme="minorHAnsi" w:hAnsiTheme="minorHAnsi" w:eastAsiaTheme="minorEastAsia" w:cstheme="minorBidi"/>
                <w:kern w:val="2"/>
                <w:sz w:val="21"/>
                <w:szCs w:val="24"/>
                <w:lang w:val="en-US" w:eastAsia="zh-CN" w:bidi="ar-SA"/>
              </w:rPr>
            </w:pPr>
            <w:r>
              <w:rPr>
                <w:rFonts w:hint="eastAsia"/>
                <w:lang w:val="en-US" w:eastAsia="zh-CN"/>
              </w:rPr>
              <w:t>学校辽宁六地红色文化资源课程示范课程、名师教学团队</w:t>
            </w:r>
          </w:p>
        </w:tc>
        <w:tc>
          <w:tcPr>
            <w:tcW w:w="1884" w:type="dxa"/>
          </w:tcPr>
          <w:p>
            <w:r>
              <w:rPr>
                <w:rFonts w:hint="eastAsia"/>
                <w:lang w:val="en-US" w:eastAsia="zh-CN"/>
              </w:rPr>
              <w:t>中国近现代史纲要</w:t>
            </w:r>
          </w:p>
        </w:tc>
        <w:tc>
          <w:tcPr>
            <w:tcW w:w="3024" w:type="dxa"/>
          </w:tcPr>
          <w:p>
            <w:pPr>
              <w:rPr>
                <w:rFonts w:hint="default" w:eastAsiaTheme="minorEastAsia"/>
                <w:lang w:val="en-US" w:eastAsia="zh-CN"/>
              </w:rPr>
            </w:pPr>
            <w:r>
              <w:rPr>
                <w:rFonts w:hint="eastAsia"/>
                <w:lang w:val="en-US" w:eastAsia="zh-CN"/>
              </w:rPr>
              <w:t>张朝霞，张丽华，宋鹤，徐薇、武晓霞，任引沁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9" w:type="dxa"/>
            <w:vAlign w:val="top"/>
          </w:tcPr>
          <w:p>
            <w:pPr>
              <w:jc w:val="left"/>
              <w:rPr>
                <w:rFonts w:hint="eastAsia" w:asciiTheme="minorHAnsi" w:hAnsiTheme="minorHAnsi" w:eastAsiaTheme="minorEastAsia" w:cstheme="minorBidi"/>
                <w:kern w:val="2"/>
                <w:sz w:val="21"/>
                <w:szCs w:val="24"/>
                <w:lang w:val="en-US" w:eastAsia="zh-CN" w:bidi="ar-SA"/>
              </w:rPr>
            </w:pPr>
            <w:r>
              <w:rPr>
                <w:rFonts w:hint="eastAsia"/>
                <w:lang w:val="en-US" w:eastAsia="zh-CN"/>
              </w:rPr>
              <w:t>学校辽宁六地红色文化资源课程示范课程、名师教学团队</w:t>
            </w:r>
          </w:p>
        </w:tc>
        <w:tc>
          <w:tcPr>
            <w:tcW w:w="1884" w:type="dxa"/>
          </w:tcPr>
          <w:p>
            <w:pPr>
              <w:rPr>
                <w:rFonts w:hint="default" w:eastAsiaTheme="minorEastAsia"/>
                <w:lang w:val="en-US" w:eastAsia="zh-CN"/>
              </w:rPr>
            </w:pPr>
            <w:r>
              <w:rPr>
                <w:rFonts w:hint="eastAsia"/>
                <w:lang w:val="en-US" w:eastAsia="zh-CN"/>
              </w:rPr>
              <w:t>中国军人英雄谱系</w:t>
            </w:r>
          </w:p>
        </w:tc>
        <w:tc>
          <w:tcPr>
            <w:tcW w:w="3024" w:type="dxa"/>
          </w:tcPr>
          <w:p>
            <w:pPr>
              <w:rPr>
                <w:rFonts w:hint="default" w:eastAsiaTheme="minorEastAsia"/>
                <w:lang w:val="en-US" w:eastAsia="zh-CN"/>
              </w:rPr>
            </w:pPr>
            <w:r>
              <w:rPr>
                <w:rFonts w:hint="eastAsia"/>
                <w:lang w:val="en-US" w:eastAsia="zh-CN"/>
              </w:rPr>
              <w:t>杨景胜，任引沁，姜贵春，任鑫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9" w:type="dxa"/>
            <w:vAlign w:val="top"/>
          </w:tcPr>
          <w:p>
            <w:pPr>
              <w:jc w:val="left"/>
              <w:rPr>
                <w:rFonts w:hint="eastAsia"/>
                <w:lang w:val="en-US" w:eastAsia="zh-CN"/>
              </w:rPr>
            </w:pPr>
            <w:r>
              <w:rPr>
                <w:rFonts w:hint="eastAsia"/>
              </w:rPr>
              <w:t>大连艺术学院首批线上优秀教学团队</w:t>
            </w:r>
          </w:p>
        </w:tc>
        <w:tc>
          <w:tcPr>
            <w:tcW w:w="1884" w:type="dxa"/>
          </w:tcPr>
          <w:p>
            <w:pPr>
              <w:rPr>
                <w:rFonts w:hint="eastAsia"/>
                <w:lang w:val="en-US" w:eastAsia="zh-CN"/>
              </w:rPr>
            </w:pPr>
            <w:r>
              <w:rPr>
                <w:rFonts w:hint="eastAsia"/>
              </w:rPr>
              <w:t>马克思主义原理、毛泽东思想和中国特色社会主义理论体系，形势与政策二</w:t>
            </w:r>
          </w:p>
        </w:tc>
        <w:tc>
          <w:tcPr>
            <w:tcW w:w="3024" w:type="dxa"/>
          </w:tcPr>
          <w:p>
            <w:pPr>
              <w:rPr>
                <w:rFonts w:hint="eastAsia"/>
                <w:lang w:val="en-US" w:eastAsia="zh-CN"/>
              </w:rPr>
            </w:pPr>
            <w:r>
              <w:rPr>
                <w:rFonts w:hint="eastAsia"/>
              </w:rPr>
              <w:t>武晓霞、亢莹、刘国辉、申婷、任引沁</w:t>
            </w:r>
          </w:p>
        </w:tc>
      </w:tr>
    </w:tbl>
    <w:p>
      <w:pPr>
        <w:ind w:firstLine="480" w:firstLineChars="200"/>
        <w:rPr>
          <w:rFonts w:hint="eastAsia"/>
          <w:sz w:val="24"/>
          <w:szCs w:val="24"/>
          <w:lang w:val="en-US" w:eastAsia="zh-CN"/>
        </w:rPr>
      </w:pPr>
    </w:p>
    <w:p>
      <w:pPr>
        <w:ind w:firstLine="480" w:firstLineChars="200"/>
        <w:rPr>
          <w:rFonts w:hint="eastAsia"/>
          <w:sz w:val="24"/>
          <w:szCs w:val="24"/>
          <w:lang w:val="en-US" w:eastAsia="zh-CN"/>
        </w:rPr>
      </w:pPr>
      <w:r>
        <w:rPr>
          <w:rFonts w:hint="eastAsia"/>
          <w:sz w:val="24"/>
          <w:szCs w:val="24"/>
          <w:lang w:val="en-US" w:eastAsia="zh-CN"/>
        </w:rPr>
        <w:t>附表三、马院制作思政教学案例</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5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479" w:type="dxa"/>
          </w:tcPr>
          <w:p>
            <w:pPr>
              <w:rPr>
                <w:rFonts w:hint="default"/>
                <w:sz w:val="24"/>
                <w:szCs w:val="24"/>
                <w:vertAlign w:val="baseline"/>
                <w:lang w:val="en-US" w:eastAsia="zh-CN"/>
              </w:rPr>
            </w:pPr>
            <w:r>
              <w:rPr>
                <w:rFonts w:hint="eastAsia"/>
                <w:sz w:val="24"/>
                <w:szCs w:val="24"/>
                <w:vertAlign w:val="baseline"/>
                <w:lang w:val="en-US" w:eastAsia="zh-CN"/>
              </w:rPr>
              <w:t>姓名</w:t>
            </w:r>
          </w:p>
        </w:tc>
        <w:tc>
          <w:tcPr>
            <w:tcW w:w="5244" w:type="dxa"/>
          </w:tcPr>
          <w:p>
            <w:pPr>
              <w:rPr>
                <w:rFonts w:hint="default"/>
                <w:sz w:val="24"/>
                <w:szCs w:val="24"/>
                <w:vertAlign w:val="baseline"/>
                <w:lang w:val="en-US" w:eastAsia="zh-CN"/>
              </w:rPr>
            </w:pPr>
            <w:r>
              <w:rPr>
                <w:rFonts w:hint="eastAsia"/>
                <w:sz w:val="24"/>
                <w:szCs w:val="24"/>
                <w:vertAlign w:val="baseline"/>
                <w:lang w:val="en-US" w:eastAsia="zh-CN"/>
              </w:rPr>
              <w:t>案例名称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dxa"/>
          </w:tcPr>
          <w:p>
            <w:pPr>
              <w:rPr>
                <w:rFonts w:hint="default"/>
                <w:sz w:val="24"/>
                <w:szCs w:val="24"/>
                <w:vertAlign w:val="baseline"/>
                <w:lang w:val="en-US" w:eastAsia="zh-CN"/>
              </w:rPr>
            </w:pPr>
            <w:r>
              <w:rPr>
                <w:rFonts w:hint="eastAsia"/>
                <w:sz w:val="24"/>
                <w:szCs w:val="24"/>
                <w:vertAlign w:val="baseline"/>
                <w:lang w:val="en-US" w:eastAsia="zh-CN"/>
              </w:rPr>
              <w:t>张朝霞</w:t>
            </w:r>
          </w:p>
        </w:tc>
        <w:tc>
          <w:tcPr>
            <w:tcW w:w="5244" w:type="dxa"/>
          </w:tcPr>
          <w:p>
            <w:pPr>
              <w:rPr>
                <w:rFonts w:hint="default"/>
                <w:sz w:val="24"/>
                <w:szCs w:val="24"/>
                <w:vertAlign w:val="baseline"/>
                <w:lang w:val="en-US" w:eastAsia="zh-CN"/>
              </w:rPr>
            </w:pPr>
            <w:r>
              <w:rPr>
                <w:rFonts w:hint="eastAsia"/>
                <w:sz w:val="24"/>
                <w:szCs w:val="24"/>
                <w:vertAlign w:val="baseline"/>
                <w:lang w:val="en-US" w:eastAsia="zh-CN"/>
              </w:rPr>
              <w:t>雷锋——新中国社会风尚的精神坐标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dxa"/>
          </w:tcPr>
          <w:p>
            <w:pPr>
              <w:rPr>
                <w:rFonts w:hint="default"/>
                <w:sz w:val="24"/>
                <w:szCs w:val="24"/>
                <w:vertAlign w:val="baseline"/>
                <w:lang w:val="en-US" w:eastAsia="zh-CN"/>
              </w:rPr>
            </w:pPr>
            <w:r>
              <w:rPr>
                <w:rFonts w:hint="eastAsia"/>
                <w:sz w:val="24"/>
                <w:szCs w:val="24"/>
                <w:vertAlign w:val="baseline"/>
                <w:lang w:val="en-US" w:eastAsia="zh-CN"/>
              </w:rPr>
              <w:t>宋鹤</w:t>
            </w:r>
          </w:p>
        </w:tc>
        <w:tc>
          <w:tcPr>
            <w:tcW w:w="5244" w:type="dxa"/>
          </w:tcPr>
          <w:p>
            <w:pPr>
              <w:rPr>
                <w:rFonts w:hint="default"/>
                <w:sz w:val="24"/>
                <w:szCs w:val="24"/>
                <w:vertAlign w:val="baseline"/>
                <w:lang w:val="en-US" w:eastAsia="zh-CN"/>
              </w:rPr>
            </w:pPr>
            <w:r>
              <w:rPr>
                <w:rFonts w:hint="eastAsia"/>
                <w:sz w:val="24"/>
                <w:szCs w:val="24"/>
                <w:vertAlign w:val="baseline"/>
                <w:lang w:val="en-US" w:eastAsia="zh-CN"/>
              </w:rPr>
              <w:t>辽宁是国歌唱响的地方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dxa"/>
          </w:tcPr>
          <w:p>
            <w:pPr>
              <w:rPr>
                <w:rFonts w:hint="default"/>
                <w:sz w:val="24"/>
                <w:szCs w:val="24"/>
                <w:vertAlign w:val="baseline"/>
                <w:lang w:val="en-US" w:eastAsia="zh-CN"/>
              </w:rPr>
            </w:pPr>
            <w:r>
              <w:rPr>
                <w:rFonts w:hint="eastAsia"/>
                <w:sz w:val="24"/>
                <w:szCs w:val="24"/>
                <w:vertAlign w:val="baseline"/>
                <w:lang w:val="en-US" w:eastAsia="zh-CN"/>
              </w:rPr>
              <w:t>徐薇</w:t>
            </w:r>
          </w:p>
        </w:tc>
        <w:tc>
          <w:tcPr>
            <w:tcW w:w="5244" w:type="dxa"/>
          </w:tcPr>
          <w:p>
            <w:pPr>
              <w:rPr>
                <w:rFonts w:hint="default"/>
                <w:sz w:val="24"/>
                <w:szCs w:val="24"/>
                <w:vertAlign w:val="baseline"/>
                <w:lang w:val="en-US" w:eastAsia="zh-CN"/>
              </w:rPr>
            </w:pPr>
            <w:r>
              <w:rPr>
                <w:rFonts w:hint="eastAsia"/>
                <w:sz w:val="24"/>
                <w:szCs w:val="24"/>
                <w:vertAlign w:val="baseline"/>
                <w:lang w:val="en-US" w:eastAsia="zh-CN"/>
              </w:rPr>
              <w:t>社会主义建设时期辽宁的工业建设与长子情怀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dxa"/>
          </w:tcPr>
          <w:p>
            <w:pPr>
              <w:rPr>
                <w:rFonts w:hint="default"/>
                <w:sz w:val="24"/>
                <w:szCs w:val="24"/>
                <w:vertAlign w:val="baseline"/>
                <w:lang w:val="en-US" w:eastAsia="zh-CN"/>
              </w:rPr>
            </w:pPr>
            <w:r>
              <w:rPr>
                <w:rFonts w:hint="eastAsia"/>
                <w:sz w:val="24"/>
                <w:szCs w:val="24"/>
                <w:vertAlign w:val="baseline"/>
                <w:lang w:val="en-US" w:eastAsia="zh-CN"/>
              </w:rPr>
              <w:t>任引沁</w:t>
            </w:r>
          </w:p>
        </w:tc>
        <w:tc>
          <w:tcPr>
            <w:tcW w:w="5244" w:type="dxa"/>
          </w:tcPr>
          <w:p>
            <w:pPr>
              <w:rPr>
                <w:rFonts w:hint="default"/>
                <w:sz w:val="24"/>
                <w:szCs w:val="24"/>
                <w:vertAlign w:val="baseline"/>
                <w:lang w:val="en-US" w:eastAsia="zh-CN"/>
              </w:rPr>
            </w:pPr>
            <w:r>
              <w:rPr>
                <w:rFonts w:hint="eastAsia"/>
                <w:sz w:val="24"/>
                <w:szCs w:val="24"/>
                <w:vertAlign w:val="baseline"/>
                <w:lang w:val="en-US" w:eastAsia="zh-CN"/>
              </w:rPr>
              <w:t>全面深刻理解辽宁省是抗美援朝出征地</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2学习宣讲党的二十大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党的二十大是在全党全国各族人民迈上全面建设社会主义现代化国家新征程、向第二个百年目标进军的关键时刻召开的一次十分重要的会议。二十大报告，深刻阐释了新时代坚持和发展中国特色社会主义的一系列重大理论和实践问题，描绘了全面建设社会主义现代化国家、全面推进中华民族伟大复兴的宏伟蓝图，为新时代新征程党和国家事业发展、实现第二个百年奋斗目标指明了前进方向、确立了行动指南，是党和人民智慧的结晶，是党团结带领全国各族人民夺取中国特色社会主义新胜利的政治宣言和行动纲领，是马克思主义的纲领性文献。学习宣传贯彻党的二十大精神是当前和今后一个时期全党全国的首要政治任务。事关党和国家事业继往开来，事关中国特色社会主义前途命运，事关中华民族伟大复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学校党委对学习贯彻党的二十大精神非常重视，6月25日学校两委会专门召开学习贯彻二十大精神部署会，党委书记、董事长提出：一、要加强学习、深入领会 用党的二十大精神强化思想；二、要加强宣传、全面覆盖 用党的二十大精神强基固本；三、要发挥优势、注重实效 用党的二十大精神引领教学、科研；四、要持续探索、着眼全局 用党的二十大精神指导发展；五、要统筹兼顾、主动作为 用党的二十大精神推动工作。马克思主义学院迅速制定了学习宣讲党的二十大精神的实施方案，要求五门思政课结合课程特点，抽出一次课时间专门宣讲党的二十大精神，制定了思政教师深入二级学院开展宣讲活动的方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附表  马克思主义学院赴二级学院开展党的二十大精神宣讲计划</w:t>
      </w:r>
    </w:p>
    <w:tbl>
      <w:tblPr>
        <w:tblStyle w:val="5"/>
        <w:tblW w:w="3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2"/>
        <w:gridCol w:w="2137"/>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9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二级学院</w:t>
            </w:r>
          </w:p>
        </w:tc>
        <w:tc>
          <w:tcPr>
            <w:tcW w:w="157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主讲教师</w:t>
            </w:r>
          </w:p>
        </w:tc>
        <w:tc>
          <w:tcPr>
            <w:tcW w:w="162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辅导教师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lang w:val="en-US" w:eastAsia="zh-CN"/>
              </w:rPr>
              <w:t>文化管理学院</w:t>
            </w:r>
          </w:p>
        </w:tc>
        <w:tc>
          <w:tcPr>
            <w:tcW w:w="157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lang w:val="en-US" w:eastAsia="zh-CN"/>
              </w:rPr>
              <w:t>任引沁</w:t>
            </w:r>
          </w:p>
        </w:tc>
        <w:tc>
          <w:tcPr>
            <w:tcW w:w="162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lang w:val="en-US" w:eastAsia="zh-CN"/>
              </w:rPr>
              <w:t>刘宴铭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9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服装学院</w:t>
            </w:r>
          </w:p>
        </w:tc>
        <w:tc>
          <w:tcPr>
            <w:tcW w:w="157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徐薇</w:t>
            </w:r>
          </w:p>
        </w:tc>
        <w:tc>
          <w:tcPr>
            <w:tcW w:w="162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 xml:space="preserve">武晓霞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9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戏传学院</w:t>
            </w:r>
          </w:p>
        </w:tc>
        <w:tc>
          <w:tcPr>
            <w:tcW w:w="157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董娇</w:t>
            </w:r>
          </w:p>
        </w:tc>
        <w:tc>
          <w:tcPr>
            <w:tcW w:w="162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张朝霞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79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美术学院</w:t>
            </w:r>
          </w:p>
        </w:tc>
        <w:tc>
          <w:tcPr>
            <w:tcW w:w="157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林欣馨</w:t>
            </w:r>
          </w:p>
        </w:tc>
        <w:tc>
          <w:tcPr>
            <w:tcW w:w="162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许英红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9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设计学院</w:t>
            </w:r>
          </w:p>
        </w:tc>
        <w:tc>
          <w:tcPr>
            <w:tcW w:w="157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申婷</w:t>
            </w:r>
          </w:p>
        </w:tc>
        <w:tc>
          <w:tcPr>
            <w:tcW w:w="162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张丽华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9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舞蹈学院</w:t>
            </w:r>
          </w:p>
        </w:tc>
        <w:tc>
          <w:tcPr>
            <w:tcW w:w="157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宋鹤</w:t>
            </w:r>
          </w:p>
        </w:tc>
        <w:tc>
          <w:tcPr>
            <w:tcW w:w="162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刘国辉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9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音乐学院</w:t>
            </w:r>
          </w:p>
        </w:tc>
        <w:tc>
          <w:tcPr>
            <w:tcW w:w="157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朵丽尼娅</w:t>
            </w:r>
          </w:p>
        </w:tc>
        <w:tc>
          <w:tcPr>
            <w:tcW w:w="162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郝树满</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马克思主义学院在总支书记郝树满、思政教师林欣馨艰辛努力下，组织成立了学校党的二十大精神学生宣讲团。11月12日，学校召开党的二十大精神学生宣讲团成立大会，党委书记、董事长亲自给宣讲团授旗，并提出殷切希望。任引沁对宣讲团进行了二十大精神的示范宣讲。任引沁还对学校地32期进党校入党积极分子进行了二十大精神的宣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sz w:val="24"/>
          <w:szCs w:val="24"/>
          <w:lang w:val="en-US" w:eastAsia="zh-CN"/>
        </w:rPr>
      </w:pPr>
      <w:r>
        <w:rPr>
          <w:rFonts w:hint="eastAsia"/>
          <w:b/>
          <w:bCs/>
          <w:sz w:val="24"/>
          <w:szCs w:val="24"/>
          <w:lang w:val="en-US" w:eastAsia="zh-CN"/>
        </w:rPr>
        <w:t>附表五、校内二十大精神宣讲</w:t>
      </w: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3589"/>
        <w:gridCol w:w="1643"/>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教师姓名</w:t>
            </w:r>
          </w:p>
        </w:tc>
        <w:tc>
          <w:tcPr>
            <w:tcW w:w="210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内容</w:t>
            </w:r>
          </w:p>
        </w:tc>
        <w:tc>
          <w:tcPr>
            <w:tcW w:w="9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时间</w:t>
            </w:r>
          </w:p>
        </w:tc>
        <w:tc>
          <w:tcPr>
            <w:tcW w:w="11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任引沁</w:t>
            </w:r>
          </w:p>
        </w:tc>
        <w:tc>
          <w:tcPr>
            <w:tcW w:w="210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踔厉奋发，勇毅前行，以中国式现代化推进中华民族伟大复兴</w:t>
            </w:r>
          </w:p>
        </w:tc>
        <w:tc>
          <w:tcPr>
            <w:tcW w:w="9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2022.11.05</w:t>
            </w:r>
          </w:p>
        </w:tc>
        <w:tc>
          <w:tcPr>
            <w:tcW w:w="11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vertAlign w:val="baseline"/>
                <w:lang w:val="en-US" w:eastAsia="zh-CN"/>
              </w:rPr>
              <w:t>学校党校第32期入党积极分子培训班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任引沁</w:t>
            </w:r>
          </w:p>
        </w:tc>
        <w:tc>
          <w:tcPr>
            <w:tcW w:w="210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vertAlign w:val="baseline"/>
                <w:lang w:val="en-US" w:eastAsia="zh-CN"/>
              </w:rPr>
              <w:t>踔厉奋发，勇毅前行，以中国式现代化推进中华民族伟大复兴</w:t>
            </w:r>
          </w:p>
        </w:tc>
        <w:tc>
          <w:tcPr>
            <w:tcW w:w="9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2022.11.12</w:t>
            </w:r>
          </w:p>
        </w:tc>
        <w:tc>
          <w:tcPr>
            <w:tcW w:w="11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vertAlign w:val="baseline"/>
                <w:lang w:val="en-US" w:eastAsia="zh-CN"/>
              </w:rPr>
              <w:t>学校学生党的二十大 精神宣讲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p>
        </w:tc>
        <w:tc>
          <w:tcPr>
            <w:tcW w:w="210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p>
        </w:tc>
        <w:tc>
          <w:tcPr>
            <w:tcW w:w="9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p>
        </w:tc>
        <w:tc>
          <w:tcPr>
            <w:tcW w:w="11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b/>
          <w:bCs/>
          <w:sz w:val="24"/>
          <w:szCs w:val="24"/>
          <w:vertAlign w:val="baseline"/>
          <w:lang w:val="en-US" w:eastAsia="zh-CN"/>
        </w:rPr>
      </w:pPr>
      <w:r>
        <w:rPr>
          <w:rFonts w:hint="eastAsia"/>
          <w:b/>
          <w:bCs/>
          <w:sz w:val="24"/>
          <w:szCs w:val="24"/>
          <w:vertAlign w:val="baseline"/>
          <w:lang w:val="en-US" w:eastAsia="zh-CN"/>
        </w:rPr>
        <w:t>附表  马院湾里街道二十大精神宣讲</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2208"/>
        <w:gridCol w:w="1584"/>
        <w:gridCol w:w="3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教师姓名</w:t>
            </w:r>
          </w:p>
        </w:tc>
        <w:tc>
          <w:tcPr>
            <w:tcW w:w="220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宣讲内容题目</w:t>
            </w:r>
          </w:p>
        </w:tc>
        <w:tc>
          <w:tcPr>
            <w:tcW w:w="158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时间</w:t>
            </w:r>
          </w:p>
        </w:tc>
        <w:tc>
          <w:tcPr>
            <w:tcW w:w="330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33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任引沁</w:t>
            </w:r>
          </w:p>
        </w:tc>
        <w:tc>
          <w:tcPr>
            <w:tcW w:w="220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二十大精神宣讲</w:t>
            </w:r>
          </w:p>
        </w:tc>
        <w:tc>
          <w:tcPr>
            <w:tcW w:w="158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2022.11.8</w:t>
            </w:r>
          </w:p>
        </w:tc>
        <w:tc>
          <w:tcPr>
            <w:tcW w:w="330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金普新区湾里街道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刘国辉</w:t>
            </w:r>
          </w:p>
        </w:tc>
        <w:tc>
          <w:tcPr>
            <w:tcW w:w="220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二十大精神宣讲</w:t>
            </w:r>
          </w:p>
        </w:tc>
        <w:tc>
          <w:tcPr>
            <w:tcW w:w="1584" w:type="dxa"/>
            <w:vAlign w:val="center"/>
          </w:tcPr>
          <w:p>
            <w:pPr>
              <w:spacing w:line="520" w:lineRule="exact"/>
              <w:jc w:val="both"/>
              <w:rPr>
                <w:rFonts w:hint="default" w:ascii="仿宋" w:hAnsi="仿宋" w:eastAsia="仿宋" w:cs="Times New Roman"/>
                <w:iCs/>
                <w:kern w:val="0"/>
                <w:sz w:val="24"/>
                <w:szCs w:val="24"/>
                <w:lang w:val="en-US" w:eastAsia="zh-CN" w:bidi="ar-SA"/>
              </w:rPr>
            </w:pPr>
            <w:r>
              <w:rPr>
                <w:rFonts w:hint="eastAsia" w:ascii="仿宋" w:hAnsi="仿宋" w:eastAsia="仿宋" w:cs="Times New Roman"/>
                <w:iCs/>
                <w:kern w:val="0"/>
                <w:sz w:val="24"/>
                <w:szCs w:val="24"/>
                <w:lang w:val="en-US" w:eastAsia="zh-CN"/>
              </w:rPr>
              <w:t>2022.11.17</w:t>
            </w:r>
          </w:p>
        </w:tc>
        <w:tc>
          <w:tcPr>
            <w:tcW w:w="330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金普新区湾里街道宜宁、青馨、港湾社区）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朵丽尼娅</w:t>
            </w:r>
          </w:p>
        </w:tc>
        <w:tc>
          <w:tcPr>
            <w:tcW w:w="220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二十大精神宣讲</w:t>
            </w:r>
          </w:p>
        </w:tc>
        <w:tc>
          <w:tcPr>
            <w:tcW w:w="1584" w:type="dxa"/>
            <w:vAlign w:val="center"/>
          </w:tcPr>
          <w:p>
            <w:pPr>
              <w:spacing w:line="520" w:lineRule="exact"/>
              <w:jc w:val="both"/>
              <w:rPr>
                <w:rFonts w:hint="default" w:ascii="仿宋" w:hAnsi="仿宋" w:eastAsia="仿宋" w:cs="Times New Roman"/>
                <w:iCs/>
                <w:kern w:val="0"/>
                <w:sz w:val="24"/>
                <w:szCs w:val="24"/>
                <w:lang w:val="en-US" w:eastAsia="zh-CN" w:bidi="ar-SA"/>
              </w:rPr>
            </w:pPr>
            <w:r>
              <w:rPr>
                <w:rFonts w:hint="eastAsia" w:ascii="仿宋" w:hAnsi="仿宋" w:eastAsia="仿宋" w:cs="Times New Roman"/>
                <w:iCs/>
                <w:kern w:val="0"/>
                <w:sz w:val="24"/>
                <w:szCs w:val="24"/>
                <w:lang w:val="en-US" w:eastAsia="zh-CN"/>
              </w:rPr>
              <w:t>2022.11.26</w:t>
            </w:r>
          </w:p>
        </w:tc>
        <w:tc>
          <w:tcPr>
            <w:tcW w:w="330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金普新区湾里街道金湾社区、东湾社区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申婷</w:t>
            </w:r>
          </w:p>
        </w:tc>
        <w:tc>
          <w:tcPr>
            <w:tcW w:w="220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二十大精神宣讲</w:t>
            </w:r>
          </w:p>
        </w:tc>
        <w:tc>
          <w:tcPr>
            <w:tcW w:w="158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ascii="仿宋" w:hAnsi="仿宋" w:eastAsia="仿宋" w:cs="Times New Roman"/>
                <w:iCs/>
                <w:kern w:val="0"/>
                <w:sz w:val="24"/>
                <w:szCs w:val="24"/>
                <w:lang w:val="en-US" w:eastAsia="zh-CN"/>
              </w:rPr>
              <w:t>2022.12.09</w:t>
            </w:r>
          </w:p>
        </w:tc>
        <w:tc>
          <w:tcPr>
            <w:tcW w:w="330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金普新区湾里街道金湾社区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杨景胜</w:t>
            </w:r>
          </w:p>
        </w:tc>
        <w:tc>
          <w:tcPr>
            <w:tcW w:w="220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二十大精神宣讲</w:t>
            </w:r>
          </w:p>
        </w:tc>
        <w:tc>
          <w:tcPr>
            <w:tcW w:w="158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2022.12,06</w:t>
            </w:r>
          </w:p>
        </w:tc>
        <w:tc>
          <w:tcPr>
            <w:tcW w:w="330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金普新区湾里街道蓝湾社区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任引沁</w:t>
            </w:r>
          </w:p>
        </w:tc>
        <w:tc>
          <w:tcPr>
            <w:tcW w:w="220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vertAlign w:val="baseline"/>
                <w:lang w:val="en-US" w:eastAsia="zh-CN"/>
              </w:rPr>
              <w:t>二十大精神宣讲</w:t>
            </w:r>
          </w:p>
        </w:tc>
        <w:tc>
          <w:tcPr>
            <w:tcW w:w="158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2022,12.15</w:t>
            </w:r>
          </w:p>
        </w:tc>
        <w:tc>
          <w:tcPr>
            <w:tcW w:w="330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金普新区湾里街道东城社区</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11月25日，12月12日，金普新区电视台，大连电视台新闻频道分别对学校教师宣讲团、学生宣讲团活动进行了报道，进一步提升了马院的声誉。马克思主义学院与湾里街道签署了思政资源共建共享协议，组建了“红漾湾里”讲师团，讲师团荣获“2022年大连市基层理论宣讲先进集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drawing>
          <wp:inline distT="0" distB="0" distL="114300" distR="114300">
            <wp:extent cx="4979035" cy="3411220"/>
            <wp:effectExtent l="0" t="0" r="4445" b="2540"/>
            <wp:docPr id="17" name="图片 17" descr="4746f9f25281f82c549be0f13d97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746f9f25281f82c549be0f13d9718b"/>
                    <pic:cNvPicPr>
                      <a:picLocks noChangeAspect="1"/>
                    </pic:cNvPicPr>
                  </pic:nvPicPr>
                  <pic:blipFill>
                    <a:blip r:embed="rId5"/>
                    <a:srcRect t="11643" b="27753"/>
                    <a:stretch>
                      <a:fillRect/>
                    </a:stretch>
                  </pic:blipFill>
                  <pic:spPr>
                    <a:xfrm>
                      <a:off x="0" y="0"/>
                      <a:ext cx="4979035" cy="34112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040630" cy="1833245"/>
            <wp:effectExtent l="0" t="0" r="3810" b="10795"/>
            <wp:docPr id="1" name="图片 1" descr="c86b59ad05fbfcf00dd0bc6c321d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86b59ad05fbfcf00dd0bc6c321d39f"/>
                    <pic:cNvPicPr>
                      <a:picLocks noChangeAspect="1"/>
                    </pic:cNvPicPr>
                  </pic:nvPicPr>
                  <pic:blipFill>
                    <a:blip r:embed="rId6"/>
                    <a:stretch>
                      <a:fillRect/>
                    </a:stretch>
                  </pic:blipFill>
                  <pic:spPr>
                    <a:xfrm>
                      <a:off x="0" y="0"/>
                      <a:ext cx="5040630" cy="18332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6690" cy="1901190"/>
            <wp:effectExtent l="0" t="0" r="6350" b="3810"/>
            <wp:docPr id="2" name="图片 2" descr="6be37d716f2dc2bed87ce2f32919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be37d716f2dc2bed87ce2f32919cca"/>
                    <pic:cNvPicPr>
                      <a:picLocks noChangeAspect="1"/>
                    </pic:cNvPicPr>
                  </pic:nvPicPr>
                  <pic:blipFill>
                    <a:blip r:embed="rId7"/>
                    <a:stretch>
                      <a:fillRect/>
                    </a:stretch>
                  </pic:blipFill>
                  <pic:spPr>
                    <a:xfrm>
                      <a:off x="0" y="0"/>
                      <a:ext cx="5266690" cy="1901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2602865"/>
            <wp:effectExtent l="0" t="0" r="6350" b="3175"/>
            <wp:docPr id="3" name="图片 3" descr="8bc8a9a3fd0244a6fa524561114e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bc8a9a3fd0244a6fa524561114e19b"/>
                    <pic:cNvPicPr>
                      <a:picLocks noChangeAspect="1"/>
                    </pic:cNvPicPr>
                  </pic:nvPicPr>
                  <pic:blipFill>
                    <a:blip r:embed="rId8"/>
                    <a:stretch>
                      <a:fillRect/>
                    </a:stretch>
                  </pic:blipFill>
                  <pic:spPr>
                    <a:xfrm>
                      <a:off x="0" y="0"/>
                      <a:ext cx="5266690" cy="2602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一、毫不动摇坚持和加强党建与大思政育人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党建引领，思政铸魂。大艺人要牢固树立“大思政” 统领学校工作的意识，全力发挥好党组织在“大思政”教育中的组织作用、领导作用、核心作用，牢牢把握党委对学校思想政治教育的领导权、主动权、决策权，并从观念认识、行动上落到实处。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大思政是学校办学的特色，是学校三十年实现最重要保证。马院的所有工作既是学校大思政工作的重要组成部分，同时有承担着开展大思政理论研究，升华学校大思政实践经验的重任。我们要努力在大思政的理论和实践两个方面都做出我们马院自己的贡献。我们所有的教研室，所有的课程，都要积极投身课程思政建设，努力在体育思政、外语思政、人文素养思政等课程思政方面做出自己的贡献。思政教研室特别要加强大思政的理论研究，积极参加宋院长组织的《大思政的理论与实践》专著的编写，尽快完成专著的写作出版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3.习近平总书记关于教育的重要论述宣讲计划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为了深化“习近平总书记关于教育的重要论述” 教师培训，和教师发展中心联合制定二级学院宣讲计划。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附表  </w:t>
      </w:r>
      <w:r>
        <w:rPr>
          <w:rFonts w:hint="eastAsia" w:ascii="宋体" w:hAnsi="宋体" w:eastAsia="宋体" w:cs="宋体"/>
          <w:b/>
          <w:bCs/>
          <w:sz w:val="24"/>
          <w:szCs w:val="24"/>
          <w:lang w:val="en-US" w:eastAsia="zh-CN"/>
        </w:rPr>
        <w:t>习近平总书记关于教育的重要论述宣讲计划表</w:t>
      </w:r>
    </w:p>
    <w:tbl>
      <w:tblPr>
        <w:tblStyle w:val="5"/>
        <w:tblW w:w="38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9"/>
        <w:gridCol w:w="2183"/>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98"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二级学院</w:t>
            </w:r>
          </w:p>
        </w:tc>
        <w:tc>
          <w:tcPr>
            <w:tcW w:w="16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主讲教师</w:t>
            </w:r>
          </w:p>
        </w:tc>
        <w:tc>
          <w:tcPr>
            <w:tcW w:w="1537"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辅导教师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798"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lang w:val="en-US" w:eastAsia="zh-CN"/>
              </w:rPr>
              <w:t>文化管理学院</w:t>
            </w:r>
          </w:p>
        </w:tc>
        <w:tc>
          <w:tcPr>
            <w:tcW w:w="16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lang w:val="en-US" w:eastAsia="zh-CN"/>
              </w:rPr>
              <w:t>任引沁</w:t>
            </w:r>
          </w:p>
        </w:tc>
        <w:tc>
          <w:tcPr>
            <w:tcW w:w="1537"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lang w:val="en-US" w:eastAsia="zh-CN"/>
              </w:rPr>
              <w:t>徐薇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98"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服装学院</w:t>
            </w:r>
          </w:p>
        </w:tc>
        <w:tc>
          <w:tcPr>
            <w:tcW w:w="16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武晓霞</w:t>
            </w:r>
          </w:p>
        </w:tc>
        <w:tc>
          <w:tcPr>
            <w:tcW w:w="1537"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刘宴铭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98"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戏传学院</w:t>
            </w:r>
          </w:p>
        </w:tc>
        <w:tc>
          <w:tcPr>
            <w:tcW w:w="16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张朝霞</w:t>
            </w:r>
          </w:p>
        </w:tc>
        <w:tc>
          <w:tcPr>
            <w:tcW w:w="1537"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董娇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798"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美术学院</w:t>
            </w:r>
          </w:p>
        </w:tc>
        <w:tc>
          <w:tcPr>
            <w:tcW w:w="16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林欣馨</w:t>
            </w:r>
          </w:p>
        </w:tc>
        <w:tc>
          <w:tcPr>
            <w:tcW w:w="1537"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亢莹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98"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设计学院</w:t>
            </w:r>
          </w:p>
        </w:tc>
        <w:tc>
          <w:tcPr>
            <w:tcW w:w="16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张丽华</w:t>
            </w:r>
          </w:p>
        </w:tc>
        <w:tc>
          <w:tcPr>
            <w:tcW w:w="1537"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申婷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98"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舞蹈学院</w:t>
            </w:r>
          </w:p>
        </w:tc>
        <w:tc>
          <w:tcPr>
            <w:tcW w:w="16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刘国辉</w:t>
            </w:r>
          </w:p>
        </w:tc>
        <w:tc>
          <w:tcPr>
            <w:tcW w:w="1537"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宋鹤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98"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音乐学院</w:t>
            </w:r>
          </w:p>
        </w:tc>
        <w:tc>
          <w:tcPr>
            <w:tcW w:w="16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朵丽尼娅</w:t>
            </w:r>
          </w:p>
        </w:tc>
        <w:tc>
          <w:tcPr>
            <w:tcW w:w="1537"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郝树满</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加强培训的一个重要方面是思政教师深入二级学院开展“习近平总书记关于教育的重要论述”的专题辅导。这几天要努力做好这项工作。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4.深化大思政理论和实践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为了深化大思政的理论研究，宋延军副校长组织了</w:t>
      </w:r>
      <w:r>
        <w:rPr>
          <w:rFonts w:hint="eastAsia" w:ascii="仿宋" w:hAnsi="仿宋" w:eastAsia="仿宋" w:cs="仿宋"/>
          <w:sz w:val="24"/>
          <w:szCs w:val="24"/>
          <w:lang w:val="en-US" w:eastAsia="zh-CN"/>
        </w:rPr>
        <w:t>《</w:t>
      </w:r>
      <w:r>
        <w:rPr>
          <w:rFonts w:hint="eastAsia" w:ascii="宋体" w:hAnsi="宋体" w:eastAsia="宋体" w:cs="宋体"/>
          <w:sz w:val="24"/>
          <w:szCs w:val="24"/>
          <w:lang w:val="en-US" w:eastAsia="zh-CN"/>
        </w:rPr>
        <w:t>大连艺术学院大思政育人理论与实践研究》，武晓霞、刘国辉、任引沁、张朝霞、周慧慧、张迎春、张桢参与了书稿的撰写，全体思政教师参参与了书稿的审阅修改工作。任引沁利用整个暑假进行了修改通稿。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3330575"/>
            <wp:effectExtent l="9525" t="9525" r="12065" b="12700"/>
            <wp:docPr id="25" name="图片 25" descr="56895180a6e04a465f7d85754b2c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6895180a6e04a465f7d85754b2cec4"/>
                    <pic:cNvPicPr>
                      <a:picLocks noChangeAspect="1"/>
                    </pic:cNvPicPr>
                  </pic:nvPicPr>
                  <pic:blipFill>
                    <a:blip r:embed="rId9"/>
                    <a:stretch>
                      <a:fillRect/>
                    </a:stretch>
                  </pic:blipFill>
                  <pic:spPr>
                    <a:xfrm>
                      <a:off x="0" y="0"/>
                      <a:ext cx="5266690" cy="3330575"/>
                    </a:xfrm>
                    <a:prstGeom prst="rect">
                      <a:avLst/>
                    </a:prstGeom>
                    <a:ln>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1443355"/>
            <wp:effectExtent l="0" t="0" r="6350" b="4445"/>
            <wp:docPr id="26" name="图片 26" descr="ce70a9896b6493702a9333729eab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e70a9896b6493702a9333729eabe98"/>
                    <pic:cNvPicPr>
                      <a:picLocks noChangeAspect="1"/>
                    </pic:cNvPicPr>
                  </pic:nvPicPr>
                  <pic:blipFill>
                    <a:blip r:embed="rId10"/>
                    <a:stretch>
                      <a:fillRect/>
                    </a:stretch>
                  </pic:blipFill>
                  <pic:spPr>
                    <a:xfrm>
                      <a:off x="0" y="0"/>
                      <a:ext cx="5266690" cy="1443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基于此的《大思政的理论与实践》专著修改中，全体思政教师、周慧慧、张迎春、张桢参与了二版书稿的撰写工作。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5742940"/>
            <wp:effectExtent l="9525" t="9525" r="12065" b="23495"/>
            <wp:docPr id="23" name="图片 23" descr="8007aea819e194d2253f47908c14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007aea819e194d2253f47908c14de9"/>
                    <pic:cNvPicPr>
                      <a:picLocks noChangeAspect="1"/>
                    </pic:cNvPicPr>
                  </pic:nvPicPr>
                  <pic:blipFill>
                    <a:blip r:embed="rId11"/>
                    <a:stretch>
                      <a:fillRect/>
                    </a:stretch>
                  </pic:blipFill>
                  <pic:spPr>
                    <a:xfrm>
                      <a:off x="0" y="0"/>
                      <a:ext cx="5266690" cy="5742940"/>
                    </a:xfrm>
                    <a:prstGeom prst="rect">
                      <a:avLst/>
                    </a:prstGeom>
                    <a:ln>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1770380"/>
            <wp:effectExtent l="9525" t="9525" r="12065" b="18415"/>
            <wp:docPr id="24" name="图片 24" descr="64ba70cd16fd1f70e2305685d728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4ba70cd16fd1f70e2305685d728cf9"/>
                    <pic:cNvPicPr>
                      <a:picLocks noChangeAspect="1"/>
                    </pic:cNvPicPr>
                  </pic:nvPicPr>
                  <pic:blipFill>
                    <a:blip r:embed="rId12"/>
                    <a:stretch>
                      <a:fillRect/>
                    </a:stretch>
                  </pic:blipFill>
                  <pic:spPr>
                    <a:xfrm>
                      <a:off x="0" y="0"/>
                      <a:ext cx="5266690" cy="1770380"/>
                    </a:xfrm>
                    <a:prstGeom prst="rect">
                      <a:avLst/>
                    </a:prstGeom>
                    <a:ln>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进一步深化大思政实践，在宋延军副校长的带领下，任引沁、林欣馨、郝树满拟制了“大思政周”系列活动实施方案。其中包括七大项活动，特别是联系“辽宁六地”纪念馆，由二级学院组织了网络讲座，把2022年《辽宁之歌》采风时党委书记、董事长与六馆签署的红色基地教育协议付诸实现，进一步深化拓展了学校的大思政实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5.开设习近平新时代中国特色社会主义思想概论课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按照辽宁省教育厅指示，开设了全校2020级必选课“习近平新时代中国特色社会主义思想概论课”，有武晓霞、任引沁、刘国辉任教，是思政课程建设的重要工作。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6.继续开展翻转英语教学，提高英语教学效果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本年度英语教研室29个英语老师，组织了两期共2900人参加的翻转英语学习。学生通过四六级考试的人数稳步增加。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drawing>
          <wp:inline distT="0" distB="0" distL="114300" distR="114300">
            <wp:extent cx="5184140" cy="2326640"/>
            <wp:effectExtent l="9525" t="9525" r="18415"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5184140" cy="232664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lang w:val="en-US" w:eastAsia="zh-CN"/>
        </w:rPr>
      </w:pPr>
      <w:r>
        <w:rPr>
          <w:rFonts w:hint="eastAsia"/>
          <w:lang w:val="en-US" w:eastAsia="zh-CN"/>
        </w:rPr>
        <w:t>英语教研室组织参加全国外语竞赛，18人才获奖</w:t>
      </w:r>
    </w:p>
    <w:p>
      <w:pPr>
        <w:keepNext w:val="0"/>
        <w:keepLines w:val="0"/>
        <w:pageBreakBefore w:val="0"/>
        <w:widowControl w:val="0"/>
        <w:kinsoku/>
        <w:wordWrap/>
        <w:overflowPunct/>
        <w:topLinePunct w:val="0"/>
        <w:autoSpaceDE/>
        <w:autoSpaceDN/>
        <w:bidi w:val="0"/>
        <w:adjustRightInd/>
        <w:snapToGrid/>
        <w:spacing w:line="360" w:lineRule="auto"/>
        <w:ind w:firstLine="632" w:firstLineChars="300"/>
        <w:textAlignment w:val="auto"/>
        <w:rPr>
          <w:rFonts w:hint="default"/>
          <w:b/>
          <w:bCs/>
          <w:lang w:val="en-US" w:eastAsia="zh-CN"/>
        </w:rPr>
      </w:pPr>
      <w:r>
        <w:rPr>
          <w:rFonts w:hint="eastAsia"/>
          <w:b/>
          <w:bCs/>
          <w:lang w:val="en-US" w:eastAsia="zh-CN"/>
        </w:rPr>
        <w:t>附表：2022年度英语竞赛获奖名单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drawing>
          <wp:inline distT="0" distB="0" distL="114300" distR="114300">
            <wp:extent cx="5175885" cy="3867785"/>
            <wp:effectExtent l="9525" t="9525" r="11430" b="241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rcRect t="19846" r="50289" b="28804"/>
                    <a:stretch>
                      <a:fillRect/>
                    </a:stretch>
                  </pic:blipFill>
                  <pic:spPr>
                    <a:xfrm>
                      <a:off x="0" y="0"/>
                      <a:ext cx="5175885" cy="386778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7.体育教研室组织参加多项比赛，总计26人次学生获奖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（一）2022年1月1-2日，大艺火凤凰啦啦操队在“2021年全国啦啦操俱乐部联赛（大连站）”，获得了学校俱乐部组U28爵士啦啦操规定套路、花球啦啦操规定套路以及双人花球啦啦操自选套路三个项目的冠军。22人次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（二）2022年1月，大艺凤凰飞盘队在“迎冬奥。爱飞盘。一起向未来”2022花式掷准飞盘线上挑战赛中荣获高校俱乐部组第一名。4人次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8.2022年马克思主义学院优秀教研室、优秀教师、先进个人</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7"/>
        <w:gridCol w:w="4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7"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2021—2022学年优秀教研室</w:t>
            </w:r>
          </w:p>
        </w:tc>
        <w:tc>
          <w:tcPr>
            <w:tcW w:w="454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英语教研室  体育教研室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sz w:val="28"/>
                <w:szCs w:val="28"/>
                <w:vertAlign w:val="baseline"/>
                <w:lang w:val="en-US" w:eastAsia="zh-CN"/>
              </w:rPr>
            </w:pPr>
            <w:r>
              <w:rPr>
                <w:rFonts w:hint="eastAsia"/>
                <w:sz w:val="24"/>
                <w:szCs w:val="24"/>
                <w:lang w:val="en-US" w:eastAsia="zh-CN"/>
              </w:rPr>
              <w:t>2021—2022学年优秀教师</w:t>
            </w:r>
          </w:p>
        </w:tc>
        <w:tc>
          <w:tcPr>
            <w:tcW w:w="454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sz w:val="28"/>
                <w:szCs w:val="28"/>
                <w:vertAlign w:val="baseline"/>
                <w:lang w:val="en-US" w:eastAsia="zh-CN"/>
              </w:rPr>
            </w:pPr>
            <w:r>
              <w:rPr>
                <w:rFonts w:hint="eastAsia"/>
                <w:lang w:val="en-US" w:eastAsia="zh-CN"/>
              </w:rPr>
              <w:t>任引沁，武晓霞，周慧慧，刘武军，宋平，张朝霞，张新光，亢莹，张立斯，黄玉凡</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二、学院今年取得的标志性成果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sz w:val="24"/>
          <w:szCs w:val="24"/>
          <w:lang w:val="en-US" w:eastAsia="zh-CN"/>
        </w:rPr>
      </w:pPr>
      <w:r>
        <w:rPr>
          <w:rFonts w:hint="eastAsia"/>
          <w:b/>
          <w:bCs/>
          <w:sz w:val="24"/>
          <w:szCs w:val="24"/>
          <w:lang w:val="en-US" w:eastAsia="zh-CN"/>
        </w:rPr>
        <w:t>1.党建成绩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lang w:val="en-US" w:eastAsia="zh-CN"/>
        </w:rPr>
      </w:pPr>
      <w:r>
        <w:rPr>
          <w:rFonts w:hint="eastAsia"/>
          <w:sz w:val="24"/>
          <w:szCs w:val="24"/>
          <w:lang w:val="en-US" w:eastAsia="zh-CN"/>
        </w:rPr>
        <w:t>继</w:t>
      </w:r>
      <w:r>
        <w:rPr>
          <w:rFonts w:hint="default"/>
          <w:sz w:val="24"/>
          <w:szCs w:val="24"/>
          <w:lang w:val="en-US" w:eastAsia="zh-CN"/>
        </w:rPr>
        <w:t>2019年马克思主义学院思政党支部获得辽宁省校园先锋示范岗</w:t>
      </w:r>
      <w:r>
        <w:rPr>
          <w:rFonts w:hint="eastAsia"/>
          <w:sz w:val="24"/>
          <w:szCs w:val="24"/>
          <w:lang w:val="en-US" w:eastAsia="zh-CN"/>
        </w:rPr>
        <w:t>，2022年8月份又获得</w:t>
      </w:r>
      <w:r>
        <w:rPr>
          <w:rFonts w:hint="default"/>
          <w:lang w:val="en-US" w:eastAsia="zh-CN"/>
        </w:rPr>
        <w:t>辽宁省党建样板支部培育建设单位</w:t>
      </w:r>
      <w:r>
        <w:rPr>
          <w:rFonts w:hint="eastAsia"/>
          <w:lang w:val="en-US" w:eastAsia="zh-CN"/>
        </w:rPr>
        <w:t>，这是马院总支和学校基层党建的重要成就。张朝霞完成2022年（20220915）辽宁省党支部标准化规范化建设示范点申报工作。高校党建“一融双高”建设案例：2022.10.12 强化服务意识，书写使命荣光（思政理论课教研室党支部）。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lang w:val="en-US" w:eastAsia="zh-CN"/>
        </w:rPr>
      </w:pPr>
      <w:r>
        <w:drawing>
          <wp:inline distT="0" distB="0" distL="114300" distR="114300">
            <wp:extent cx="5270500" cy="2534285"/>
            <wp:effectExtent l="0" t="0" r="2540" b="10795"/>
            <wp:docPr id="29"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1"/>
                    <pic:cNvPicPr>
                      <a:picLocks noChangeAspect="1" noChangeArrowheads="1"/>
                    </pic:cNvPicPr>
                  </pic:nvPicPr>
                  <pic:blipFill>
                    <a:blip r:embed="rId15"/>
                    <a:srcRect/>
                    <a:stretch>
                      <a:fillRect/>
                    </a:stretch>
                  </pic:blipFill>
                  <pic:spPr>
                    <a:xfrm>
                      <a:off x="0" y="0"/>
                      <a:ext cx="5270500" cy="2534285"/>
                    </a:xfrm>
                    <a:prstGeom prst="rect">
                      <a:avLst/>
                    </a:prstGeom>
                    <a:noFill/>
                    <a:ln w="9525">
                      <a:noFill/>
                      <a:miter lim="800000"/>
                      <a:headEnd/>
                      <a:tailEnd/>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r>
        <w:drawing>
          <wp:inline distT="0" distB="0" distL="114300" distR="114300">
            <wp:extent cx="5118735" cy="2894965"/>
            <wp:effectExtent l="0" t="0" r="1905" b="63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6"/>
                    <a:stretch>
                      <a:fillRect/>
                    </a:stretch>
                  </pic:blipFill>
                  <pic:spPr>
                    <a:xfrm>
                      <a:off x="0" y="0"/>
                      <a:ext cx="5118735" cy="28949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r>
        <w:drawing>
          <wp:inline distT="0" distB="0" distL="114300" distR="114300">
            <wp:extent cx="3941445" cy="2779395"/>
            <wp:effectExtent l="0" t="0" r="5715" b="952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7"/>
                    <a:srcRect l="25729" t="27325" r="41536" b="20767"/>
                    <a:stretch>
                      <a:fillRect/>
                    </a:stretch>
                  </pic:blipFill>
                  <pic:spPr>
                    <a:xfrm>
                      <a:off x="0" y="0"/>
                      <a:ext cx="3941445" cy="27793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r>
        <w:rPr>
          <w:rFonts w:hint="eastAsia"/>
          <w:b/>
          <w:bCs/>
          <w:lang w:val="en-US" w:eastAsia="zh-CN"/>
        </w:rPr>
        <w:t>2.教改科研成绩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default"/>
          <w:b/>
          <w:bCs/>
          <w:lang w:val="en-US" w:eastAsia="zh-CN"/>
        </w:rPr>
      </w:pPr>
      <w:r>
        <w:rPr>
          <w:rFonts w:hint="eastAsia"/>
          <w:b/>
          <w:bCs/>
          <w:lang w:val="en-US" w:eastAsia="zh-CN"/>
        </w:rPr>
        <w:t>附表：2022年马院省级教改科研比赛获奖表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2053"/>
        <w:gridCol w:w="1797"/>
        <w:gridCol w:w="2150"/>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tcPr>
          <w:p>
            <w:pPr>
              <w:widowControl w:val="0"/>
              <w:jc w:val="both"/>
              <w:rPr>
                <w:rFonts w:hint="default"/>
                <w:b/>
                <w:bCs/>
                <w:lang w:val="en-US" w:eastAsia="zh-CN"/>
              </w:rPr>
            </w:pPr>
            <w:r>
              <w:rPr>
                <w:rFonts w:hint="eastAsia"/>
                <w:b/>
                <w:bCs/>
                <w:lang w:val="en-US" w:eastAsia="zh-CN"/>
              </w:rPr>
              <w:t>序号</w:t>
            </w:r>
          </w:p>
        </w:tc>
        <w:tc>
          <w:tcPr>
            <w:tcW w:w="2053" w:type="dxa"/>
          </w:tcPr>
          <w:p>
            <w:pPr>
              <w:widowControl w:val="0"/>
              <w:jc w:val="both"/>
              <w:rPr>
                <w:rFonts w:hint="default"/>
                <w:b/>
                <w:bCs/>
                <w:lang w:val="en-US" w:eastAsia="zh-CN"/>
              </w:rPr>
            </w:pPr>
            <w:r>
              <w:rPr>
                <w:rFonts w:hint="eastAsia"/>
                <w:b/>
                <w:bCs/>
                <w:lang w:val="en-US" w:eastAsia="zh-CN"/>
              </w:rPr>
              <w:t>类别层次</w:t>
            </w:r>
          </w:p>
        </w:tc>
        <w:tc>
          <w:tcPr>
            <w:tcW w:w="1797" w:type="dxa"/>
          </w:tcPr>
          <w:p>
            <w:pPr>
              <w:widowControl w:val="0"/>
              <w:jc w:val="both"/>
              <w:rPr>
                <w:rFonts w:hint="default"/>
                <w:b/>
                <w:bCs/>
                <w:lang w:val="en-US" w:eastAsia="zh-CN"/>
              </w:rPr>
            </w:pPr>
            <w:r>
              <w:rPr>
                <w:rFonts w:hint="eastAsia"/>
                <w:b/>
                <w:bCs/>
                <w:lang w:val="en-US" w:eastAsia="zh-CN"/>
              </w:rPr>
              <w:t>科研成果和课题</w:t>
            </w:r>
          </w:p>
        </w:tc>
        <w:tc>
          <w:tcPr>
            <w:tcW w:w="2150" w:type="dxa"/>
          </w:tcPr>
          <w:p>
            <w:pPr>
              <w:keepNext w:val="0"/>
              <w:keepLines w:val="0"/>
              <w:pageBreakBefore w:val="0"/>
              <w:widowControl w:val="0"/>
              <w:wordWrap/>
              <w:overflowPunct/>
              <w:autoSpaceDE w:val="0"/>
              <w:autoSpaceDN w:val="0"/>
              <w:bidi w:val="0"/>
              <w:adjustRightInd w:val="0"/>
              <w:snapToGrid w:val="0"/>
              <w:spacing w:line="400" w:lineRule="exact"/>
              <w:jc w:val="center"/>
              <w:rPr>
                <w:rFonts w:hint="default" w:ascii="宋体" w:hAnsi="宋体" w:eastAsia="宋体" w:cs="宋体"/>
                <w:b/>
                <w:bCs/>
                <w:iCs/>
                <w:kern w:val="0"/>
                <w:sz w:val="21"/>
                <w:szCs w:val="21"/>
                <w:lang w:val="en-US" w:eastAsia="zh-CN"/>
              </w:rPr>
            </w:pPr>
            <w:r>
              <w:rPr>
                <w:rFonts w:hint="eastAsia" w:ascii="宋体" w:hAnsi="宋体" w:eastAsia="宋体" w:cs="宋体"/>
                <w:b/>
                <w:bCs/>
                <w:iCs/>
                <w:kern w:val="0"/>
                <w:sz w:val="21"/>
                <w:szCs w:val="21"/>
                <w:lang w:val="en-US" w:eastAsia="zh-CN"/>
              </w:rPr>
              <w:t>类别</w:t>
            </w:r>
          </w:p>
        </w:tc>
        <w:tc>
          <w:tcPr>
            <w:tcW w:w="1746" w:type="dxa"/>
          </w:tcPr>
          <w:p>
            <w:pPr>
              <w:keepNext w:val="0"/>
              <w:keepLines w:val="0"/>
              <w:pageBreakBefore w:val="0"/>
              <w:widowControl w:val="0"/>
              <w:wordWrap/>
              <w:overflowPunct/>
              <w:autoSpaceDE w:val="0"/>
              <w:autoSpaceDN w:val="0"/>
              <w:bidi w:val="0"/>
              <w:adjustRightInd w:val="0"/>
              <w:snapToGrid w:val="0"/>
              <w:spacing w:line="400" w:lineRule="exact"/>
              <w:jc w:val="center"/>
              <w:rPr>
                <w:rFonts w:hint="default" w:ascii="宋体" w:hAnsi="宋体" w:eastAsia="宋体" w:cs="宋体"/>
                <w:b/>
                <w:bCs/>
                <w:iCs/>
                <w:kern w:val="0"/>
                <w:sz w:val="21"/>
                <w:szCs w:val="21"/>
                <w:lang w:val="en-US" w:eastAsia="zh-CN"/>
              </w:rPr>
            </w:pPr>
            <w:r>
              <w:rPr>
                <w:rFonts w:hint="eastAsia" w:ascii="宋体" w:hAnsi="宋体" w:eastAsia="宋体" w:cs="宋体"/>
                <w:b/>
                <w:bCs/>
                <w:iCs/>
                <w:kern w:val="0"/>
                <w:sz w:val="21"/>
                <w:szCs w:val="21"/>
                <w:lang w:val="en-US" w:eastAsia="zh-CN"/>
              </w:rPr>
              <w:t>参与人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75"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1</w:t>
            </w:r>
          </w:p>
        </w:tc>
        <w:tc>
          <w:tcPr>
            <w:tcW w:w="2053"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省级教改成果</w:t>
            </w:r>
          </w:p>
        </w:tc>
        <w:tc>
          <w:tcPr>
            <w:tcW w:w="1797"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艺术院校“双驱动三层次六融合”社会主义核心价值观构建</w:t>
            </w:r>
          </w:p>
        </w:tc>
        <w:tc>
          <w:tcPr>
            <w:tcW w:w="2150"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ascii="宋体" w:hAnsi="宋体" w:eastAsia="宋体" w:cs="宋体"/>
                <w:b/>
                <w:bCs/>
                <w:iCs/>
                <w:kern w:val="0"/>
                <w:sz w:val="21"/>
                <w:szCs w:val="21"/>
                <w:lang w:val="en-US" w:eastAsia="zh-CN"/>
              </w:rPr>
            </w:pPr>
            <w:r>
              <w:rPr>
                <w:rFonts w:hint="eastAsia"/>
                <w:b/>
                <w:bCs/>
                <w:lang w:val="en-US" w:eastAsia="zh-CN"/>
              </w:rPr>
              <w:t>2022年辽宁省普通高等教育（本科）教学成果三等奖</w:t>
            </w:r>
          </w:p>
        </w:tc>
        <w:tc>
          <w:tcPr>
            <w:tcW w:w="174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任引沁、张朝霞、武晓霞、刘国辉、刘湛、赵倩雯、王雪梅、毕琳琳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75"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2</w:t>
            </w:r>
          </w:p>
        </w:tc>
        <w:tc>
          <w:tcPr>
            <w:tcW w:w="2053"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省级一流课程</w:t>
            </w:r>
          </w:p>
        </w:tc>
        <w:tc>
          <w:tcPr>
            <w:tcW w:w="1797"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中国近现代史纲要</w:t>
            </w:r>
          </w:p>
        </w:tc>
        <w:tc>
          <w:tcPr>
            <w:tcW w:w="2150"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p>
        </w:tc>
        <w:tc>
          <w:tcPr>
            <w:tcW w:w="174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任引沁，张朝霞，张丽华，宋鹤，徐薇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75"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3</w:t>
            </w:r>
          </w:p>
        </w:tc>
        <w:tc>
          <w:tcPr>
            <w:tcW w:w="2053"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省级一流课程</w:t>
            </w:r>
          </w:p>
        </w:tc>
        <w:tc>
          <w:tcPr>
            <w:tcW w:w="1797"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大学生人文素养一</w:t>
            </w:r>
          </w:p>
        </w:tc>
        <w:tc>
          <w:tcPr>
            <w:tcW w:w="2150"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p>
        </w:tc>
        <w:tc>
          <w:tcPr>
            <w:tcW w:w="174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韩群，张丽，王雪梅，吕宝江，邵百艳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775"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4</w:t>
            </w:r>
          </w:p>
        </w:tc>
        <w:tc>
          <w:tcPr>
            <w:tcW w:w="2053"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省级思政专项</w:t>
            </w:r>
          </w:p>
        </w:tc>
        <w:tc>
          <w:tcPr>
            <w:tcW w:w="1797"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基于校街共建的高校政治理论课实践教学模式研究</w:t>
            </w:r>
          </w:p>
        </w:tc>
        <w:tc>
          <w:tcPr>
            <w:tcW w:w="2150"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2022年辽宁省高校思想政治理论课教学改革研究立项课题</w:t>
            </w:r>
          </w:p>
        </w:tc>
        <w:tc>
          <w:tcPr>
            <w:tcW w:w="174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张朝霞、任引沁、武晓霞、亢莹、宋鹤、申婷、徐薇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5</w:t>
            </w:r>
          </w:p>
        </w:tc>
        <w:tc>
          <w:tcPr>
            <w:tcW w:w="2053"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省级教改立项1</w:t>
            </w:r>
          </w:p>
        </w:tc>
        <w:tc>
          <w:tcPr>
            <w:tcW w:w="1797"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“三全育人”理念下艺术院校思政课程与课程思政合力育人模式的研究与实践</w:t>
            </w:r>
          </w:p>
        </w:tc>
        <w:tc>
          <w:tcPr>
            <w:tcW w:w="2150"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2022年辽宁省教学改革研究（本科）项目</w:t>
            </w:r>
          </w:p>
        </w:tc>
        <w:tc>
          <w:tcPr>
            <w:tcW w:w="174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宋延军，韩菲，武晓霞，刘国辉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6</w:t>
            </w:r>
          </w:p>
        </w:tc>
        <w:tc>
          <w:tcPr>
            <w:tcW w:w="2053"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省级教改立项2</w:t>
            </w:r>
          </w:p>
        </w:tc>
        <w:tc>
          <w:tcPr>
            <w:tcW w:w="1797"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表达性艺术融入高校心理健康教育教学的研究与实践</w:t>
            </w:r>
          </w:p>
        </w:tc>
        <w:tc>
          <w:tcPr>
            <w:tcW w:w="2150"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2022年辽宁省教学改革研究（本科）项目</w:t>
            </w:r>
          </w:p>
        </w:tc>
        <w:tc>
          <w:tcPr>
            <w:tcW w:w="174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黄玉凡，杨景胜，任引沁，高月斌，张秋，赵雪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7</w:t>
            </w:r>
          </w:p>
        </w:tc>
        <w:tc>
          <w:tcPr>
            <w:tcW w:w="2053"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b/>
                <w:bCs/>
                <w:lang w:val="en-US" w:eastAsia="zh-CN"/>
              </w:rPr>
              <w:t>省级党建课题</w:t>
            </w:r>
          </w:p>
        </w:tc>
        <w:tc>
          <w:tcPr>
            <w:tcW w:w="1797"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b/>
                <w:bCs/>
                <w:lang w:val="en-US" w:eastAsia="zh-CN"/>
              </w:rPr>
              <w:t>新时代辽宁民办高校基层党组织政治功能提升路径与机制创新研究</w:t>
            </w:r>
          </w:p>
        </w:tc>
        <w:tc>
          <w:tcPr>
            <w:tcW w:w="2150"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b/>
                <w:bCs/>
                <w:lang w:val="en-US" w:eastAsia="zh-CN"/>
              </w:rPr>
              <w:t>2022年辽宁省党建立项课题（重点）</w:t>
            </w:r>
          </w:p>
        </w:tc>
        <w:tc>
          <w:tcPr>
            <w:tcW w:w="174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b/>
                <w:bCs/>
                <w:lang w:val="en-US" w:eastAsia="zh-CN"/>
              </w:rPr>
              <w:t>亢莹、张丽华、武晓霞、张朝霞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8</w:t>
            </w:r>
          </w:p>
        </w:tc>
        <w:tc>
          <w:tcPr>
            <w:tcW w:w="2053"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cstheme="minorBidi"/>
                <w:b/>
                <w:bCs/>
                <w:kern w:val="2"/>
                <w:sz w:val="21"/>
                <w:szCs w:val="24"/>
                <w:lang w:val="en-US" w:eastAsia="zh-CN" w:bidi="ar-SA"/>
              </w:rPr>
              <w:t>第十一届辽宁省高校思想政治理论课教学比赛（专科）</w:t>
            </w:r>
          </w:p>
        </w:tc>
        <w:tc>
          <w:tcPr>
            <w:tcW w:w="1797"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申婷，董娇，初赛</w:t>
            </w:r>
          </w:p>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cstheme="minorBidi"/>
                <w:b/>
                <w:bCs/>
                <w:kern w:val="2"/>
                <w:sz w:val="21"/>
                <w:szCs w:val="24"/>
                <w:lang w:val="en-US" w:eastAsia="zh-CN" w:bidi="ar-SA"/>
              </w:rPr>
              <w:t>董娇，决赛</w:t>
            </w:r>
          </w:p>
        </w:tc>
        <w:tc>
          <w:tcPr>
            <w:tcW w:w="2150"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lang w:val="en-US" w:eastAsia="zh-CN"/>
              </w:rPr>
            </w:pPr>
            <w:r>
              <w:rPr>
                <w:rFonts w:hint="eastAsia" w:cstheme="minorBidi"/>
                <w:b/>
                <w:bCs/>
                <w:kern w:val="2"/>
                <w:sz w:val="21"/>
                <w:szCs w:val="24"/>
                <w:lang w:val="en-US" w:eastAsia="zh-CN" w:bidi="ar-SA"/>
              </w:rPr>
              <w:t>第十一届辽宁省高校思想政治理论课教学比赛（本科）初赛</w:t>
            </w:r>
          </w:p>
        </w:tc>
        <w:tc>
          <w:tcPr>
            <w:tcW w:w="174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lang w:val="en-US" w:eastAsia="zh-CN"/>
              </w:rPr>
            </w:pPr>
            <w:r>
              <w:rPr>
                <w:rFonts w:hint="eastAsia"/>
                <w:b/>
                <w:bCs/>
                <w:lang w:val="en-US" w:eastAsia="zh-CN"/>
              </w:rPr>
              <w:t>宋鹤和徐薇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9</w:t>
            </w:r>
          </w:p>
        </w:tc>
        <w:tc>
          <w:tcPr>
            <w:tcW w:w="2053"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cstheme="minorBidi"/>
                <w:b/>
                <w:bCs/>
                <w:kern w:val="2"/>
                <w:sz w:val="21"/>
                <w:szCs w:val="24"/>
                <w:lang w:val="en-US" w:eastAsia="zh-CN" w:bidi="ar-SA"/>
              </w:rPr>
              <w:t>省级微课比赛</w:t>
            </w:r>
          </w:p>
        </w:tc>
        <w:tc>
          <w:tcPr>
            <w:tcW w:w="1797"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b/>
                <w:bCs/>
                <w:lang w:val="en-US" w:eastAsia="zh-CN"/>
              </w:rPr>
              <w:t>国防含义</w:t>
            </w:r>
          </w:p>
        </w:tc>
        <w:tc>
          <w:tcPr>
            <w:tcW w:w="2150"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b/>
                <w:bCs/>
                <w:lang w:val="en-US" w:eastAsia="zh-CN"/>
              </w:rPr>
              <w:t>辽宁省高校军事微课二等奖</w:t>
            </w:r>
          </w:p>
        </w:tc>
        <w:tc>
          <w:tcPr>
            <w:tcW w:w="174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赵雪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10</w:t>
            </w:r>
          </w:p>
        </w:tc>
        <w:tc>
          <w:tcPr>
            <w:tcW w:w="2053"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2022级辽宁省辽宁省高校政治理论课精品教案比赛</w:t>
            </w:r>
          </w:p>
        </w:tc>
        <w:tc>
          <w:tcPr>
            <w:tcW w:w="1797"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马克思主义基本原理</w:t>
            </w:r>
          </w:p>
        </w:tc>
        <w:tc>
          <w:tcPr>
            <w:tcW w:w="2150"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三等奖</w:t>
            </w:r>
          </w:p>
        </w:tc>
        <w:tc>
          <w:tcPr>
            <w:tcW w:w="174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武晓霞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11</w:t>
            </w:r>
          </w:p>
        </w:tc>
        <w:tc>
          <w:tcPr>
            <w:tcW w:w="2053"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辽宁省高校“贯彻党的十九届六中全会精神，提升思想政治工作队伍铸魂育人能力”征文</w:t>
            </w:r>
          </w:p>
        </w:tc>
        <w:tc>
          <w:tcPr>
            <w:tcW w:w="1797"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cstheme="minorBidi"/>
                <w:b/>
                <w:bCs/>
                <w:kern w:val="2"/>
                <w:sz w:val="21"/>
                <w:szCs w:val="24"/>
                <w:lang w:val="en-US" w:eastAsia="zh-CN" w:bidi="ar-SA"/>
              </w:rPr>
              <w:t>论艺术类大学生“四史”课教师的教学能力</w:t>
            </w:r>
          </w:p>
        </w:tc>
        <w:tc>
          <w:tcPr>
            <w:tcW w:w="2150"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一等奖</w:t>
            </w:r>
          </w:p>
        </w:tc>
        <w:tc>
          <w:tcPr>
            <w:tcW w:w="174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武晓霞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12</w:t>
            </w:r>
          </w:p>
        </w:tc>
        <w:tc>
          <w:tcPr>
            <w:tcW w:w="2053"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辽宁省高校“贯彻党的十九届六中全会精神，提升思想政治工作队伍铸魂育人能力”征文</w:t>
            </w:r>
          </w:p>
        </w:tc>
        <w:tc>
          <w:tcPr>
            <w:tcW w:w="1797"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cstheme="minorBidi"/>
                <w:b/>
                <w:bCs/>
                <w:kern w:val="2"/>
                <w:sz w:val="21"/>
                <w:szCs w:val="24"/>
                <w:lang w:val="en-US" w:eastAsia="zh-CN" w:bidi="ar-SA"/>
              </w:rPr>
              <w:t>构建艺术院校特色的社会主义核心价值观教育模式</w:t>
            </w:r>
          </w:p>
        </w:tc>
        <w:tc>
          <w:tcPr>
            <w:tcW w:w="2150"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二等奖</w:t>
            </w:r>
          </w:p>
        </w:tc>
        <w:tc>
          <w:tcPr>
            <w:tcW w:w="174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任引沁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13</w:t>
            </w:r>
          </w:p>
        </w:tc>
        <w:tc>
          <w:tcPr>
            <w:tcW w:w="2053"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辽宁省高校“贯彻党的十九届六中全会精神，提升思想政治工作队伍铸魂育人能力”征文</w:t>
            </w:r>
          </w:p>
        </w:tc>
        <w:tc>
          <w:tcPr>
            <w:tcW w:w="1797"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cstheme="minorBidi"/>
                <w:b/>
                <w:bCs/>
                <w:kern w:val="2"/>
                <w:sz w:val="21"/>
                <w:szCs w:val="24"/>
                <w:lang w:val="en-US" w:eastAsia="zh-CN" w:bidi="ar-SA"/>
              </w:rPr>
              <w:t>新时代坚持和加强党对高校的全面领导研究——以大连艺术学院为例</w:t>
            </w:r>
          </w:p>
        </w:tc>
        <w:tc>
          <w:tcPr>
            <w:tcW w:w="2150"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三等奖</w:t>
            </w:r>
          </w:p>
        </w:tc>
        <w:tc>
          <w:tcPr>
            <w:tcW w:w="1746" w:type="dxa"/>
            <w:vAlign w:val="top"/>
          </w:tcPr>
          <w:p>
            <w:pPr>
              <w:rPr>
                <w:rFonts w:hint="eastAsia" w:asciiTheme="minorHAnsi" w:hAnsiTheme="minorHAnsi" w:eastAsiaTheme="minorEastAsia" w:cstheme="minorBidi"/>
                <w:kern w:val="2"/>
                <w:sz w:val="21"/>
                <w:szCs w:val="24"/>
                <w:lang w:val="en-US" w:eastAsia="zh-CN" w:bidi="ar-SA"/>
              </w:rPr>
            </w:pPr>
            <w:r>
              <w:rPr>
                <w:rFonts w:hint="eastAsia"/>
                <w:b/>
                <w:bCs/>
              </w:rPr>
              <w:t>申婷</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r>
        <w:rPr>
          <w:rFonts w:hint="eastAsia"/>
          <w:b/>
          <w:bCs/>
          <w:lang w:val="en-US" w:eastAsia="zh-CN"/>
        </w:rPr>
        <w:t>提醒几点：1.要努力完成在研的两个省级教改课题的研究工作。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2.要积极梳理近年教研室的教改课题，争取在2024年教学成果申报中我们马院能再创佳绩。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bCs/>
          <w:lang w:val="en-US" w:eastAsia="zh-CN"/>
        </w:rPr>
      </w:pPr>
      <w:r>
        <w:rPr>
          <w:rFonts w:hint="eastAsia"/>
          <w:b/>
          <w:bCs/>
          <w:lang w:val="en-US" w:eastAsia="zh-CN"/>
        </w:rPr>
        <w:t xml:space="preserve">   3.发挥教授们的作用，积极总结自己的教学经验，争取立项更多的教改课题。教改课题对审核评估、甚至对自己的职称评定都具有重要作用。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default"/>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r>
        <w:rPr>
          <w:rFonts w:hint="eastAsia"/>
          <w:b/>
          <w:bCs/>
          <w:lang w:val="en-US" w:eastAsia="zh-CN"/>
        </w:rPr>
        <w:t>3.2022年马院获批校级教改课题</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349"/>
        <w:gridCol w:w="2216"/>
        <w:gridCol w:w="2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top"/>
          </w:tcPr>
          <w:p>
            <w:pPr>
              <w:widowControl w:val="0"/>
              <w:jc w:val="both"/>
              <w:rPr>
                <w:rFonts w:hint="default"/>
                <w:lang w:val="en-US" w:eastAsia="zh-CN"/>
              </w:rPr>
            </w:pPr>
          </w:p>
        </w:tc>
        <w:tc>
          <w:tcPr>
            <w:tcW w:w="3349" w:type="dxa"/>
            <w:vAlign w:val="top"/>
          </w:tcPr>
          <w:p>
            <w:pPr>
              <w:widowControl w:val="0"/>
              <w:jc w:val="both"/>
              <w:rPr>
                <w:rFonts w:hint="default" w:eastAsiaTheme="minorEastAsia"/>
                <w:lang w:val="en-US" w:eastAsia="zh-CN"/>
              </w:rPr>
            </w:pPr>
            <w:r>
              <w:rPr>
                <w:rFonts w:hint="eastAsia"/>
                <w:lang w:val="en-US" w:eastAsia="zh-CN"/>
              </w:rPr>
              <w:t>项目名称</w:t>
            </w:r>
          </w:p>
        </w:tc>
        <w:tc>
          <w:tcPr>
            <w:tcW w:w="2216" w:type="dxa"/>
            <w:vAlign w:val="top"/>
          </w:tcPr>
          <w:p>
            <w:pPr>
              <w:widowControl w:val="0"/>
              <w:jc w:val="both"/>
              <w:rPr>
                <w:rFonts w:hint="default" w:eastAsiaTheme="minorEastAsia"/>
                <w:lang w:val="en-US" w:eastAsia="zh-CN"/>
              </w:rPr>
            </w:pPr>
            <w:r>
              <w:rPr>
                <w:rFonts w:hint="eastAsia"/>
                <w:lang w:val="en-US" w:eastAsia="zh-CN"/>
              </w:rPr>
              <w:t>项目类别</w:t>
            </w:r>
          </w:p>
        </w:tc>
        <w:tc>
          <w:tcPr>
            <w:tcW w:w="2216" w:type="dxa"/>
            <w:vAlign w:val="top"/>
          </w:tcPr>
          <w:p>
            <w:pPr>
              <w:widowControl w:val="0"/>
              <w:jc w:val="both"/>
              <w:rPr>
                <w:rFonts w:hint="eastAsia" w:eastAsiaTheme="minorEastAsia"/>
                <w:lang w:val="en-US" w:eastAsia="zh-CN"/>
              </w:rPr>
            </w:pPr>
            <w:r>
              <w:rPr>
                <w:rFonts w:hint="eastAsia"/>
                <w:lang w:val="en-US" w:eastAsia="zh-CN"/>
              </w:rPr>
              <w:t>参与人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1</w:t>
            </w:r>
          </w:p>
        </w:tc>
        <w:tc>
          <w:tcPr>
            <w:tcW w:w="334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基于原创剧目思政课程与课程思政协同育人模式构建与实践</w:t>
            </w:r>
          </w:p>
        </w:tc>
        <w:tc>
          <w:tcPr>
            <w:tcW w:w="221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大连艺术学院2022年校级教改课题（重点）</w:t>
            </w:r>
          </w:p>
        </w:tc>
        <w:tc>
          <w:tcPr>
            <w:tcW w:w="221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武晓霞、任引沁、亢莹、刘国辉、张朝霞、申婷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2</w:t>
            </w:r>
          </w:p>
        </w:tc>
        <w:tc>
          <w:tcPr>
            <w:tcW w:w="334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color w:val="FF0000"/>
                <w:kern w:val="2"/>
                <w:sz w:val="21"/>
                <w:szCs w:val="24"/>
                <w:lang w:val="en-US" w:eastAsia="zh-CN" w:bidi="ar-SA"/>
              </w:rPr>
              <w:t>新文科背景下大学英语通识教育转向路径实施探索</w:t>
            </w:r>
          </w:p>
        </w:tc>
        <w:tc>
          <w:tcPr>
            <w:tcW w:w="221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大连艺术学院2022年校级教改课题</w:t>
            </w:r>
          </w:p>
        </w:tc>
        <w:tc>
          <w:tcPr>
            <w:tcW w:w="221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张立斯、周慧慧、李冬辉、宋平、尹博、姜岩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3</w:t>
            </w:r>
          </w:p>
        </w:tc>
        <w:tc>
          <w:tcPr>
            <w:tcW w:w="334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color w:val="FF0000"/>
                <w:kern w:val="2"/>
                <w:sz w:val="21"/>
                <w:szCs w:val="24"/>
                <w:lang w:val="en-US" w:eastAsia="zh-CN" w:bidi="ar-SA"/>
              </w:rPr>
              <w:t>基于《国家学生体质健康标准》的学生体质达标综合教学模式的构建与实践</w:t>
            </w:r>
          </w:p>
        </w:tc>
        <w:tc>
          <w:tcPr>
            <w:tcW w:w="221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大连艺术学院2022年校级教改课题</w:t>
            </w:r>
          </w:p>
        </w:tc>
        <w:tc>
          <w:tcPr>
            <w:tcW w:w="221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徐家余、刘武军、张新光、杨楠、徐志杰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4</w:t>
            </w:r>
          </w:p>
        </w:tc>
        <w:tc>
          <w:tcPr>
            <w:tcW w:w="334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color w:val="FF0000"/>
                <w:kern w:val="2"/>
                <w:sz w:val="21"/>
                <w:szCs w:val="24"/>
                <w:lang w:val="en-US" w:eastAsia="zh-CN" w:bidi="ar-SA"/>
              </w:rPr>
              <w:t>艺术院校《大学生国防教育和国家安全》“三素质”教学模式的构建与实践</w:t>
            </w:r>
          </w:p>
        </w:tc>
        <w:tc>
          <w:tcPr>
            <w:tcW w:w="221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大连艺术学院2022年校级教改课题</w:t>
            </w:r>
          </w:p>
        </w:tc>
        <w:tc>
          <w:tcPr>
            <w:tcW w:w="221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杨景胜、黄玉凡、任引沁、姜贵春、赵雪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5</w:t>
            </w:r>
          </w:p>
        </w:tc>
        <w:tc>
          <w:tcPr>
            <w:tcW w:w="334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“三全育人”理念下的国家安全教育课程思政建设研究与实践</w:t>
            </w:r>
          </w:p>
        </w:tc>
        <w:tc>
          <w:tcPr>
            <w:tcW w:w="221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大连艺术学院 2022 年“三全育人”“五育并举”教学改革专项课题</w:t>
            </w:r>
          </w:p>
        </w:tc>
        <w:tc>
          <w:tcPr>
            <w:tcW w:w="221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赵雪、姜贵春、张新光、杨景胜、任引沁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default" w:cstheme="minorBidi"/>
                <w:b/>
                <w:bCs/>
                <w:kern w:val="2"/>
                <w:sz w:val="21"/>
                <w:szCs w:val="24"/>
                <w:lang w:val="en-US" w:eastAsia="zh-CN" w:bidi="ar-SA"/>
              </w:rPr>
              <w:t>6</w:t>
            </w:r>
          </w:p>
        </w:tc>
        <w:tc>
          <w:tcPr>
            <w:tcW w:w="3349"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五育融合校园环境育人研究与实践</w:t>
            </w:r>
          </w:p>
        </w:tc>
        <w:tc>
          <w:tcPr>
            <w:tcW w:w="221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2022年学校教学改革项目立项（三全育人五育并举教学专项）</w:t>
            </w:r>
          </w:p>
        </w:tc>
        <w:tc>
          <w:tcPr>
            <w:tcW w:w="221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任引沁，武晓霞，张朝霞，姜贵春</w:t>
            </w:r>
          </w:p>
        </w:tc>
      </w:tr>
    </w:tbl>
    <w:p>
      <w:pPr>
        <w:keepNext w:val="0"/>
        <w:keepLines w:val="0"/>
        <w:pageBreakBefore w:val="0"/>
        <w:widowControl w:val="0"/>
        <w:wordWrap/>
        <w:overflowPunct/>
        <w:autoSpaceDE w:val="0"/>
        <w:autoSpaceDN w:val="0"/>
        <w:bidi w:val="0"/>
        <w:adjustRightInd w:val="0"/>
        <w:snapToGrid w:val="0"/>
        <w:spacing w:line="400" w:lineRule="exact"/>
        <w:ind w:firstLine="422" w:firstLineChars="20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4.2022年申报的高等级课题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cstheme="minorBidi"/>
          <w:b/>
          <w:bCs/>
          <w:kern w:val="2"/>
          <w:sz w:val="21"/>
          <w:szCs w:val="24"/>
          <w:lang w:val="en-US" w:eastAsia="zh-CN" w:bidi="ar-SA"/>
        </w:rPr>
      </w:pPr>
      <w:r>
        <w:rPr>
          <w:rFonts w:hint="eastAsia"/>
          <w:sz w:val="24"/>
          <w:szCs w:val="24"/>
          <w:lang w:val="en-US" w:eastAsia="zh-CN"/>
        </w:rPr>
        <w:t>虽然没有获批或者依然等待获批，但这些工作使我们看清了差距，厘清了思路，对我们今后申报高等级课题大有益处。</w:t>
      </w:r>
    </w:p>
    <w:p>
      <w:pPr>
        <w:keepNext w:val="0"/>
        <w:keepLines w:val="0"/>
        <w:pageBreakBefore w:val="0"/>
        <w:widowControl w:val="0"/>
        <w:wordWrap/>
        <w:overflowPunct/>
        <w:autoSpaceDE w:val="0"/>
        <w:autoSpaceDN w:val="0"/>
        <w:bidi w:val="0"/>
        <w:adjustRightInd w:val="0"/>
        <w:snapToGrid w:val="0"/>
        <w:spacing w:line="400" w:lineRule="exact"/>
        <w:ind w:firstLine="422" w:firstLineChars="200"/>
        <w:jc w:val="left"/>
        <w:rPr>
          <w:rFonts w:hint="eastAsia" w:cstheme="minorBidi"/>
          <w:b/>
          <w:bCs/>
          <w:kern w:val="2"/>
          <w:sz w:val="21"/>
          <w:szCs w:val="24"/>
          <w:lang w:val="en-US" w:eastAsia="zh-CN" w:bidi="ar-SA"/>
        </w:rPr>
      </w:pPr>
    </w:p>
    <w:p>
      <w:pPr>
        <w:keepNext w:val="0"/>
        <w:keepLines w:val="0"/>
        <w:pageBreakBefore w:val="0"/>
        <w:widowControl w:val="0"/>
        <w:wordWrap/>
        <w:overflowPunct/>
        <w:autoSpaceDE w:val="0"/>
        <w:autoSpaceDN w:val="0"/>
        <w:bidi w:val="0"/>
        <w:adjustRightInd w:val="0"/>
        <w:snapToGrid w:val="0"/>
        <w:spacing w:line="240" w:lineRule="auto"/>
        <w:ind w:firstLine="422" w:firstLineChars="20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drawing>
          <wp:inline distT="0" distB="0" distL="114300" distR="114300">
            <wp:extent cx="5013960" cy="3337560"/>
            <wp:effectExtent l="9525" t="9525" r="20955" b="20955"/>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18"/>
                    <a:stretch>
                      <a:fillRect/>
                    </a:stretch>
                  </pic:blipFill>
                  <pic:spPr>
                    <a:xfrm>
                      <a:off x="0" y="0"/>
                      <a:ext cx="5013960" cy="333756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sz w:val="24"/>
          <w:szCs w:val="24"/>
          <w:lang w:val="en-US" w:eastAsia="zh-CN"/>
        </w:rPr>
      </w:pPr>
    </w:p>
    <w:p>
      <w:pPr>
        <w:keepNext w:val="0"/>
        <w:keepLines w:val="0"/>
        <w:pageBreakBefore w:val="0"/>
        <w:widowControl w:val="0"/>
        <w:wordWrap/>
        <w:overflowPunct/>
        <w:autoSpaceDE w:val="0"/>
        <w:autoSpaceDN w:val="0"/>
        <w:bidi w:val="0"/>
        <w:adjustRightInd w:val="0"/>
        <w:snapToGrid w:val="0"/>
        <w:spacing w:line="240" w:lineRule="auto"/>
        <w:ind w:firstLine="422" w:firstLineChars="20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drawing>
          <wp:inline distT="0" distB="0" distL="114300" distR="114300">
            <wp:extent cx="5272405" cy="3024505"/>
            <wp:effectExtent l="9525" t="9525" r="21590" b="13970"/>
            <wp:docPr id="18" name="图片 1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2"/>
                    <pic:cNvPicPr>
                      <a:picLocks noChangeAspect="1"/>
                    </pic:cNvPicPr>
                  </pic:nvPicPr>
                  <pic:blipFill>
                    <a:blip r:embed="rId19"/>
                    <a:srcRect b="8527"/>
                    <a:stretch>
                      <a:fillRect/>
                    </a:stretch>
                  </pic:blipFill>
                  <pic:spPr>
                    <a:xfrm>
                      <a:off x="0" y="0"/>
                      <a:ext cx="5272405" cy="3024505"/>
                    </a:xfrm>
                    <a:prstGeom prst="rect">
                      <a:avLst/>
                    </a:prstGeom>
                    <a:ln>
                      <a:solidFill>
                        <a:schemeClr val="tx1"/>
                      </a:solidFill>
                    </a:ln>
                  </pic:spPr>
                </pic:pic>
              </a:graphicData>
            </a:graphic>
          </wp:inline>
        </w:drawing>
      </w:r>
    </w:p>
    <w:p>
      <w:pPr>
        <w:keepNext w:val="0"/>
        <w:keepLines w:val="0"/>
        <w:pageBreakBefore w:val="0"/>
        <w:widowControl w:val="0"/>
        <w:wordWrap/>
        <w:overflowPunct/>
        <w:autoSpaceDE w:val="0"/>
        <w:autoSpaceDN w:val="0"/>
        <w:bidi w:val="0"/>
        <w:adjustRightInd w:val="0"/>
        <w:snapToGrid w:val="0"/>
        <w:spacing w:line="240" w:lineRule="auto"/>
        <w:ind w:firstLine="422" w:firstLineChars="200"/>
        <w:jc w:val="left"/>
        <w:rPr>
          <w:rFonts w:hint="eastAsia" w:cstheme="minorBidi"/>
          <w:b/>
          <w:bCs/>
          <w:kern w:val="2"/>
          <w:sz w:val="21"/>
          <w:szCs w:val="24"/>
          <w:lang w:val="en-US" w:eastAsia="zh-CN" w:bidi="ar-SA"/>
        </w:rPr>
      </w:pPr>
    </w:p>
    <w:p>
      <w:pPr>
        <w:keepNext w:val="0"/>
        <w:keepLines w:val="0"/>
        <w:pageBreakBefore w:val="0"/>
        <w:widowControl w:val="0"/>
        <w:wordWrap/>
        <w:overflowPunct/>
        <w:autoSpaceDE w:val="0"/>
        <w:autoSpaceDN w:val="0"/>
        <w:bidi w:val="0"/>
        <w:adjustRightInd w:val="0"/>
        <w:snapToGrid w:val="0"/>
        <w:spacing w:line="240" w:lineRule="auto"/>
        <w:ind w:firstLine="422" w:firstLineChars="200"/>
        <w:jc w:val="left"/>
        <w:rPr>
          <w:rFonts w:hint="eastAsia" w:cstheme="minorBidi"/>
          <w:b/>
          <w:bCs/>
          <w:kern w:val="2"/>
          <w:sz w:val="21"/>
          <w:szCs w:val="24"/>
          <w:lang w:val="en-US" w:eastAsia="zh-CN" w:bidi="ar-SA"/>
        </w:rPr>
      </w:pPr>
    </w:p>
    <w:p>
      <w:pPr>
        <w:keepNext w:val="0"/>
        <w:keepLines w:val="0"/>
        <w:pageBreakBefore w:val="0"/>
        <w:widowControl w:val="0"/>
        <w:wordWrap/>
        <w:overflowPunct/>
        <w:autoSpaceDE w:val="0"/>
        <w:autoSpaceDN w:val="0"/>
        <w:bidi w:val="0"/>
        <w:adjustRightInd w:val="0"/>
        <w:snapToGrid w:val="0"/>
        <w:spacing w:line="240" w:lineRule="auto"/>
        <w:ind w:firstLine="422" w:firstLineChars="20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drawing>
          <wp:inline distT="0" distB="0" distL="114300" distR="114300">
            <wp:extent cx="5234305" cy="4892040"/>
            <wp:effectExtent l="9525" t="9525" r="13970" b="20955"/>
            <wp:docPr id="19" name="图片 1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3"/>
                    <pic:cNvPicPr>
                      <a:picLocks noChangeAspect="1"/>
                    </pic:cNvPicPr>
                  </pic:nvPicPr>
                  <pic:blipFill>
                    <a:blip r:embed="rId20"/>
                    <a:srcRect l="10871" r="10963"/>
                    <a:stretch>
                      <a:fillRect/>
                    </a:stretch>
                  </pic:blipFill>
                  <pic:spPr>
                    <a:xfrm>
                      <a:off x="0" y="0"/>
                      <a:ext cx="5234305" cy="4892040"/>
                    </a:xfrm>
                    <a:prstGeom prst="rect">
                      <a:avLst/>
                    </a:prstGeom>
                    <a:ln>
                      <a:solidFill>
                        <a:schemeClr val="tx1"/>
                      </a:solidFill>
                    </a:ln>
                  </pic:spPr>
                </pic:pic>
              </a:graphicData>
            </a:graphic>
          </wp:inline>
        </w:drawing>
      </w:r>
    </w:p>
    <w:p>
      <w:pPr>
        <w:keepNext w:val="0"/>
        <w:keepLines w:val="0"/>
        <w:pageBreakBefore w:val="0"/>
        <w:widowControl w:val="0"/>
        <w:wordWrap/>
        <w:overflowPunct/>
        <w:autoSpaceDE w:val="0"/>
        <w:autoSpaceDN w:val="0"/>
        <w:bidi w:val="0"/>
        <w:adjustRightInd w:val="0"/>
        <w:snapToGrid w:val="0"/>
        <w:spacing w:line="240" w:lineRule="auto"/>
        <w:ind w:firstLine="422" w:firstLineChars="200"/>
        <w:jc w:val="left"/>
        <w:rPr>
          <w:rFonts w:hint="default" w:cstheme="minorBidi"/>
          <w:b/>
          <w:bCs/>
          <w:kern w:val="2"/>
          <w:sz w:val="21"/>
          <w:szCs w:val="24"/>
          <w:lang w:val="en-US" w:eastAsia="zh-CN" w:bidi="ar-SA"/>
        </w:rPr>
      </w:pPr>
      <w:r>
        <w:rPr>
          <w:rFonts w:hint="default" w:cstheme="minorBidi"/>
          <w:b/>
          <w:bCs/>
          <w:kern w:val="2"/>
          <w:sz w:val="21"/>
          <w:szCs w:val="24"/>
          <w:lang w:val="en-US" w:eastAsia="zh-CN" w:bidi="ar-SA"/>
        </w:rPr>
        <w:drawing>
          <wp:inline distT="0" distB="0" distL="114300" distR="114300">
            <wp:extent cx="4944110" cy="3764280"/>
            <wp:effectExtent l="9525" t="9525" r="14605" b="20955"/>
            <wp:docPr id="20" name="图片 2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4"/>
                    <pic:cNvPicPr>
                      <a:picLocks noChangeAspect="1"/>
                    </pic:cNvPicPr>
                  </pic:nvPicPr>
                  <pic:blipFill>
                    <a:blip r:embed="rId21"/>
                    <a:stretch>
                      <a:fillRect/>
                    </a:stretch>
                  </pic:blipFill>
                  <pic:spPr>
                    <a:xfrm>
                      <a:off x="0" y="0"/>
                      <a:ext cx="4944110" cy="3764280"/>
                    </a:xfrm>
                    <a:prstGeom prst="rect">
                      <a:avLst/>
                    </a:prstGeom>
                    <a:ln>
                      <a:solidFill>
                        <a:schemeClr val="tx1"/>
                      </a:solidFill>
                    </a:ln>
                  </pic:spPr>
                </pic:pic>
              </a:graphicData>
            </a:graphic>
          </wp:inline>
        </w:drawing>
      </w:r>
    </w:p>
    <w:p>
      <w:pPr>
        <w:keepNext w:val="0"/>
        <w:keepLines w:val="0"/>
        <w:pageBreakBefore w:val="0"/>
        <w:widowControl w:val="0"/>
        <w:wordWrap/>
        <w:overflowPunct/>
        <w:autoSpaceDE w:val="0"/>
        <w:autoSpaceDN w:val="0"/>
        <w:bidi w:val="0"/>
        <w:adjustRightInd w:val="0"/>
        <w:snapToGrid w:val="0"/>
        <w:spacing w:line="240" w:lineRule="auto"/>
        <w:ind w:firstLine="420" w:firstLineChars="200"/>
        <w:jc w:val="left"/>
      </w:pPr>
      <w:r>
        <w:drawing>
          <wp:inline distT="0" distB="0" distL="114300" distR="114300">
            <wp:extent cx="4773930" cy="3562350"/>
            <wp:effectExtent l="9525" t="9525" r="17145" b="952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2"/>
                    <a:srcRect l="6221" t="14252" r="51592" b="9258"/>
                    <a:stretch>
                      <a:fillRect/>
                    </a:stretch>
                  </pic:blipFill>
                  <pic:spPr>
                    <a:xfrm>
                      <a:off x="0" y="0"/>
                      <a:ext cx="4773930" cy="3562350"/>
                    </a:xfrm>
                    <a:prstGeom prst="rect">
                      <a:avLst/>
                    </a:prstGeom>
                    <a:noFill/>
                    <a:ln>
                      <a:solidFill>
                        <a:schemeClr val="tx1"/>
                      </a:solidFill>
                    </a:ln>
                  </pic:spPr>
                </pic:pic>
              </a:graphicData>
            </a:graphic>
          </wp:inline>
        </w:drawing>
      </w:r>
    </w:p>
    <w:p>
      <w:pPr>
        <w:keepNext w:val="0"/>
        <w:keepLines w:val="0"/>
        <w:pageBreakBefore w:val="0"/>
        <w:widowControl w:val="0"/>
        <w:wordWrap/>
        <w:overflowPunct/>
        <w:autoSpaceDE w:val="0"/>
        <w:autoSpaceDN w:val="0"/>
        <w:bidi w:val="0"/>
        <w:adjustRightInd w:val="0"/>
        <w:snapToGrid w:val="0"/>
        <w:spacing w:line="240" w:lineRule="auto"/>
        <w:ind w:firstLine="420" w:firstLineChars="200"/>
        <w:jc w:val="left"/>
      </w:pPr>
    </w:p>
    <w:p>
      <w:pPr>
        <w:keepNext w:val="0"/>
        <w:keepLines w:val="0"/>
        <w:pageBreakBefore w:val="0"/>
        <w:widowControl w:val="0"/>
        <w:wordWrap/>
        <w:overflowPunct/>
        <w:autoSpaceDE w:val="0"/>
        <w:autoSpaceDN w:val="0"/>
        <w:bidi w:val="0"/>
        <w:adjustRightInd w:val="0"/>
        <w:snapToGrid w:val="0"/>
        <w:spacing w:line="240" w:lineRule="auto"/>
        <w:ind w:firstLine="420" w:firstLineChars="200"/>
        <w:jc w:val="left"/>
      </w:pPr>
    </w:p>
    <w:p>
      <w:pPr>
        <w:keepNext w:val="0"/>
        <w:keepLines w:val="0"/>
        <w:pageBreakBefore w:val="0"/>
        <w:widowControl w:val="0"/>
        <w:wordWrap/>
        <w:overflowPunct/>
        <w:autoSpaceDE w:val="0"/>
        <w:autoSpaceDN w:val="0"/>
        <w:bidi w:val="0"/>
        <w:adjustRightInd w:val="0"/>
        <w:snapToGrid w:val="0"/>
        <w:spacing w:line="240" w:lineRule="auto"/>
        <w:ind w:firstLine="420" w:firstLineChars="200"/>
        <w:jc w:val="left"/>
      </w:pPr>
    </w:p>
    <w:p>
      <w:pPr>
        <w:keepNext w:val="0"/>
        <w:keepLines w:val="0"/>
        <w:pageBreakBefore w:val="0"/>
        <w:widowControl w:val="0"/>
        <w:wordWrap/>
        <w:overflowPunct/>
        <w:autoSpaceDE w:val="0"/>
        <w:autoSpaceDN w:val="0"/>
        <w:bidi w:val="0"/>
        <w:adjustRightInd w:val="0"/>
        <w:snapToGrid w:val="0"/>
        <w:spacing w:line="240" w:lineRule="auto"/>
        <w:ind w:firstLine="420" w:firstLineChars="200"/>
        <w:jc w:val="left"/>
      </w:pPr>
    </w:p>
    <w:p>
      <w:pPr>
        <w:keepNext w:val="0"/>
        <w:keepLines w:val="0"/>
        <w:pageBreakBefore w:val="0"/>
        <w:widowControl w:val="0"/>
        <w:wordWrap/>
        <w:overflowPunct/>
        <w:autoSpaceDE w:val="0"/>
        <w:autoSpaceDN w:val="0"/>
        <w:bidi w:val="0"/>
        <w:adjustRightInd w:val="0"/>
        <w:snapToGrid w:val="0"/>
        <w:spacing w:line="240" w:lineRule="auto"/>
        <w:ind w:firstLine="420" w:firstLineChars="200"/>
        <w:jc w:val="left"/>
      </w:pPr>
    </w:p>
    <w:p>
      <w:pPr>
        <w:keepNext w:val="0"/>
        <w:keepLines w:val="0"/>
        <w:pageBreakBefore w:val="0"/>
        <w:widowControl w:val="0"/>
        <w:wordWrap/>
        <w:overflowPunct/>
        <w:autoSpaceDE w:val="0"/>
        <w:autoSpaceDN w:val="0"/>
        <w:bidi w:val="0"/>
        <w:adjustRightInd w:val="0"/>
        <w:snapToGrid w:val="0"/>
        <w:spacing w:line="240" w:lineRule="auto"/>
        <w:ind w:firstLine="420" w:firstLineChars="200"/>
        <w:jc w:val="left"/>
      </w:pPr>
      <w:r>
        <w:drawing>
          <wp:inline distT="0" distB="0" distL="114300" distR="114300">
            <wp:extent cx="5258435" cy="3724275"/>
            <wp:effectExtent l="9525" t="9525" r="20320" b="1524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3"/>
                    <a:srcRect l="47574" t="12859" r="9746" b="7458"/>
                    <a:stretch>
                      <a:fillRect/>
                    </a:stretch>
                  </pic:blipFill>
                  <pic:spPr>
                    <a:xfrm>
                      <a:off x="0" y="0"/>
                      <a:ext cx="5258435" cy="372427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三、存在问题及改进措施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马克思主义学院近年来虽然取得了一定成就，但存在问题还是非常明显的，主要包括教师的前沿学术科研能力不足，参加全省各级各类比赛并获得好成绩的信心不足，还包括领导，主要是我自己的学术能力、领导能力不足等问题。这些都是制约马克思主义学院取得更好成绩，建设辽宁省民办高校一流马院的“瓶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马克思主义学院担负着学校思政、体育、英语、人文素养、健康、国防和国家安全、劳动教育等基础教育，对整个学校的人才培养起着重要的基础作用。马克思主义学院始终得到学校两委会，得到党委书记董事长王贤俊教授、校长姜茂发教授的高度关怀。2022年，学校为马克思主义学院配齐了领导班子，在人事处的大力支持下，招聘了3名英语教师，招聘了1名博士副教授思政教师，转岗了一名思政教师，还有5名思政教师等待入职。这些工作为马克思主义学院2023年的建设发展提供了良好基础。</w:t>
      </w:r>
    </w:p>
    <w:p>
      <w:pPr>
        <w:jc w:val="both"/>
        <w:rPr>
          <w:rFonts w:hint="eastAsia"/>
          <w:sz w:val="21"/>
          <w:szCs w:val="21"/>
          <w:lang w:val="en-US" w:eastAsia="zh-CN"/>
        </w:rPr>
      </w:pPr>
      <w:r>
        <w:rPr>
          <w:rFonts w:hint="eastAsia"/>
          <w:b/>
          <w:bCs/>
          <w:sz w:val="21"/>
          <w:szCs w:val="21"/>
          <w:lang w:val="en-US" w:eastAsia="zh-CN"/>
        </w:rPr>
        <w:t>附表：马克思主义学院教师统计</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858"/>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pPr>
              <w:rPr>
                <w:rFonts w:hint="default"/>
                <w:vertAlign w:val="baseline"/>
                <w:lang w:val="en-US" w:eastAsia="zh-CN"/>
              </w:rPr>
            </w:pPr>
            <w:r>
              <w:rPr>
                <w:rFonts w:hint="eastAsia"/>
                <w:vertAlign w:val="baseline"/>
                <w:lang w:val="en-US" w:eastAsia="zh-CN"/>
              </w:rPr>
              <w:t>教研室</w:t>
            </w:r>
          </w:p>
        </w:tc>
        <w:tc>
          <w:tcPr>
            <w:tcW w:w="1419" w:type="dxa"/>
          </w:tcPr>
          <w:p>
            <w:pPr>
              <w:rPr>
                <w:rFonts w:hint="default"/>
                <w:vertAlign w:val="baseline"/>
                <w:lang w:val="en-US" w:eastAsia="zh-CN"/>
              </w:rPr>
            </w:pPr>
            <w:r>
              <w:rPr>
                <w:rFonts w:hint="eastAsia"/>
                <w:vertAlign w:val="baseline"/>
                <w:lang w:val="en-US" w:eastAsia="zh-CN"/>
              </w:rPr>
              <w:t>教授</w:t>
            </w:r>
          </w:p>
        </w:tc>
        <w:tc>
          <w:tcPr>
            <w:tcW w:w="1419" w:type="dxa"/>
          </w:tcPr>
          <w:p>
            <w:pPr>
              <w:rPr>
                <w:rFonts w:hint="default"/>
                <w:vertAlign w:val="baseline"/>
                <w:lang w:val="en-US" w:eastAsia="zh-CN"/>
              </w:rPr>
            </w:pPr>
            <w:r>
              <w:rPr>
                <w:rFonts w:hint="eastAsia"/>
                <w:vertAlign w:val="baseline"/>
                <w:lang w:val="en-US" w:eastAsia="zh-CN"/>
              </w:rPr>
              <w:t>副教授</w:t>
            </w:r>
          </w:p>
        </w:tc>
        <w:tc>
          <w:tcPr>
            <w:tcW w:w="1420" w:type="dxa"/>
          </w:tcPr>
          <w:p>
            <w:pPr>
              <w:rPr>
                <w:rFonts w:hint="default"/>
                <w:vertAlign w:val="baseline"/>
                <w:lang w:val="en-US" w:eastAsia="zh-CN"/>
              </w:rPr>
            </w:pPr>
            <w:r>
              <w:rPr>
                <w:rFonts w:hint="eastAsia"/>
                <w:vertAlign w:val="baseline"/>
                <w:lang w:val="en-US" w:eastAsia="zh-CN"/>
              </w:rPr>
              <w:t>讲师及以下</w:t>
            </w:r>
          </w:p>
        </w:tc>
        <w:tc>
          <w:tcPr>
            <w:tcW w:w="858" w:type="dxa"/>
          </w:tcPr>
          <w:p>
            <w:pPr>
              <w:rPr>
                <w:rFonts w:hint="default"/>
                <w:vertAlign w:val="baseline"/>
                <w:lang w:val="en-US" w:eastAsia="zh-CN"/>
              </w:rPr>
            </w:pPr>
            <w:r>
              <w:rPr>
                <w:rFonts w:hint="eastAsia"/>
                <w:vertAlign w:val="baseline"/>
                <w:lang w:val="en-US" w:eastAsia="zh-CN"/>
              </w:rPr>
              <w:t>总计</w:t>
            </w:r>
          </w:p>
        </w:tc>
        <w:tc>
          <w:tcPr>
            <w:tcW w:w="1284" w:type="dxa"/>
          </w:tcPr>
          <w:p>
            <w:pPr>
              <w:rPr>
                <w:rFonts w:hint="default"/>
                <w:vertAlign w:val="baseline"/>
                <w:lang w:val="en-US" w:eastAsia="zh-CN"/>
              </w:rPr>
            </w:pPr>
            <w:r>
              <w:rPr>
                <w:rFonts w:hint="eastAsia"/>
                <w:vertAlign w:val="baseline"/>
                <w:lang w:val="en-US" w:eastAsia="zh-CN"/>
              </w:rPr>
              <w:t>准备入职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pPr>
              <w:rPr>
                <w:rFonts w:hint="default"/>
                <w:vertAlign w:val="baseline"/>
                <w:lang w:val="en-US" w:eastAsia="zh-CN"/>
              </w:rPr>
            </w:pPr>
            <w:r>
              <w:rPr>
                <w:rFonts w:hint="eastAsia"/>
                <w:vertAlign w:val="baseline"/>
                <w:lang w:val="en-US" w:eastAsia="zh-CN"/>
              </w:rPr>
              <w:t>外语教研室</w:t>
            </w:r>
          </w:p>
        </w:tc>
        <w:tc>
          <w:tcPr>
            <w:tcW w:w="1419" w:type="dxa"/>
          </w:tcPr>
          <w:p>
            <w:pPr>
              <w:rPr>
                <w:rFonts w:hint="default"/>
                <w:vertAlign w:val="baseline"/>
                <w:lang w:val="en-US" w:eastAsia="zh-CN"/>
              </w:rPr>
            </w:pPr>
            <w:r>
              <w:rPr>
                <w:rFonts w:hint="eastAsia"/>
                <w:vertAlign w:val="baseline"/>
                <w:lang w:val="en-US" w:eastAsia="zh-CN"/>
              </w:rPr>
              <w:t>5</w:t>
            </w:r>
          </w:p>
        </w:tc>
        <w:tc>
          <w:tcPr>
            <w:tcW w:w="1419" w:type="dxa"/>
          </w:tcPr>
          <w:p>
            <w:pPr>
              <w:rPr>
                <w:rFonts w:hint="default"/>
                <w:vertAlign w:val="baseline"/>
                <w:lang w:val="en-US" w:eastAsia="zh-CN"/>
              </w:rPr>
            </w:pPr>
            <w:r>
              <w:rPr>
                <w:rFonts w:hint="eastAsia"/>
                <w:vertAlign w:val="baseline"/>
                <w:lang w:val="en-US" w:eastAsia="zh-CN"/>
              </w:rPr>
              <w:t>12</w:t>
            </w:r>
          </w:p>
        </w:tc>
        <w:tc>
          <w:tcPr>
            <w:tcW w:w="1420" w:type="dxa"/>
          </w:tcPr>
          <w:p>
            <w:pPr>
              <w:rPr>
                <w:rFonts w:hint="default"/>
                <w:vertAlign w:val="baseline"/>
                <w:lang w:val="en-US" w:eastAsia="zh-CN"/>
              </w:rPr>
            </w:pPr>
            <w:r>
              <w:rPr>
                <w:rFonts w:hint="eastAsia"/>
                <w:vertAlign w:val="baseline"/>
                <w:lang w:val="en-US" w:eastAsia="zh-CN"/>
              </w:rPr>
              <w:t>9</w:t>
            </w:r>
          </w:p>
        </w:tc>
        <w:tc>
          <w:tcPr>
            <w:tcW w:w="858" w:type="dxa"/>
          </w:tcPr>
          <w:p>
            <w:pPr>
              <w:rPr>
                <w:rFonts w:hint="default"/>
                <w:vertAlign w:val="baseline"/>
                <w:lang w:val="en-US" w:eastAsia="zh-CN"/>
              </w:rPr>
            </w:pPr>
            <w:r>
              <w:rPr>
                <w:rFonts w:hint="eastAsia"/>
                <w:vertAlign w:val="baseline"/>
                <w:lang w:val="en-US" w:eastAsia="zh-CN"/>
              </w:rPr>
              <w:t>26</w:t>
            </w:r>
          </w:p>
        </w:tc>
        <w:tc>
          <w:tcPr>
            <w:tcW w:w="1284"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pPr>
              <w:rPr>
                <w:rFonts w:hint="default"/>
                <w:vertAlign w:val="baseline"/>
                <w:lang w:val="en-US" w:eastAsia="zh-CN"/>
              </w:rPr>
            </w:pPr>
            <w:r>
              <w:rPr>
                <w:rFonts w:hint="eastAsia"/>
                <w:vertAlign w:val="baseline"/>
                <w:lang w:val="en-US" w:eastAsia="zh-CN"/>
              </w:rPr>
              <w:t>体育教研室</w:t>
            </w:r>
          </w:p>
        </w:tc>
        <w:tc>
          <w:tcPr>
            <w:tcW w:w="1419" w:type="dxa"/>
          </w:tcPr>
          <w:p>
            <w:pPr>
              <w:rPr>
                <w:rFonts w:hint="eastAsia"/>
                <w:vertAlign w:val="baseline"/>
                <w:lang w:val="en-US" w:eastAsia="zh-CN"/>
              </w:rPr>
            </w:pPr>
          </w:p>
        </w:tc>
        <w:tc>
          <w:tcPr>
            <w:tcW w:w="1419" w:type="dxa"/>
          </w:tcPr>
          <w:p>
            <w:pPr>
              <w:rPr>
                <w:rFonts w:hint="default"/>
                <w:vertAlign w:val="baseline"/>
                <w:lang w:val="en-US" w:eastAsia="zh-CN"/>
              </w:rPr>
            </w:pPr>
            <w:r>
              <w:rPr>
                <w:rFonts w:hint="eastAsia"/>
                <w:vertAlign w:val="baseline"/>
                <w:lang w:val="en-US" w:eastAsia="zh-CN"/>
              </w:rPr>
              <w:t>3</w:t>
            </w:r>
          </w:p>
        </w:tc>
        <w:tc>
          <w:tcPr>
            <w:tcW w:w="1420" w:type="dxa"/>
          </w:tcPr>
          <w:p>
            <w:pPr>
              <w:rPr>
                <w:rFonts w:hint="default"/>
                <w:vertAlign w:val="baseline"/>
                <w:lang w:val="en-US" w:eastAsia="zh-CN"/>
              </w:rPr>
            </w:pPr>
            <w:r>
              <w:rPr>
                <w:rFonts w:hint="eastAsia"/>
                <w:vertAlign w:val="baseline"/>
                <w:lang w:val="en-US" w:eastAsia="zh-CN"/>
              </w:rPr>
              <w:t>13</w:t>
            </w:r>
          </w:p>
        </w:tc>
        <w:tc>
          <w:tcPr>
            <w:tcW w:w="858" w:type="dxa"/>
          </w:tcPr>
          <w:p>
            <w:pPr>
              <w:rPr>
                <w:rFonts w:hint="default"/>
                <w:vertAlign w:val="baseline"/>
                <w:lang w:val="en-US" w:eastAsia="zh-CN"/>
              </w:rPr>
            </w:pPr>
            <w:r>
              <w:rPr>
                <w:rFonts w:hint="eastAsia"/>
                <w:vertAlign w:val="baseline"/>
                <w:lang w:val="en-US" w:eastAsia="zh-CN"/>
              </w:rPr>
              <w:t>16</w:t>
            </w:r>
          </w:p>
        </w:tc>
        <w:tc>
          <w:tcPr>
            <w:tcW w:w="1284"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pPr>
              <w:rPr>
                <w:rFonts w:hint="default"/>
                <w:vertAlign w:val="baseline"/>
                <w:lang w:val="en-US" w:eastAsia="zh-CN"/>
              </w:rPr>
            </w:pPr>
            <w:r>
              <w:rPr>
                <w:rFonts w:hint="eastAsia"/>
                <w:vertAlign w:val="baseline"/>
                <w:lang w:val="en-US" w:eastAsia="zh-CN"/>
              </w:rPr>
              <w:t>思政教研室</w:t>
            </w:r>
          </w:p>
        </w:tc>
        <w:tc>
          <w:tcPr>
            <w:tcW w:w="1419" w:type="dxa"/>
          </w:tcPr>
          <w:p>
            <w:pPr>
              <w:rPr>
                <w:rFonts w:hint="default"/>
                <w:vertAlign w:val="baseline"/>
                <w:lang w:val="en-US" w:eastAsia="zh-CN"/>
              </w:rPr>
            </w:pPr>
            <w:r>
              <w:rPr>
                <w:rFonts w:hint="eastAsia"/>
                <w:vertAlign w:val="baseline"/>
                <w:lang w:val="en-US" w:eastAsia="zh-CN"/>
              </w:rPr>
              <w:t>3</w:t>
            </w:r>
          </w:p>
        </w:tc>
        <w:tc>
          <w:tcPr>
            <w:tcW w:w="1419" w:type="dxa"/>
          </w:tcPr>
          <w:p>
            <w:pPr>
              <w:rPr>
                <w:rFonts w:hint="default"/>
                <w:vertAlign w:val="baseline"/>
                <w:lang w:val="en-US" w:eastAsia="zh-CN"/>
              </w:rPr>
            </w:pPr>
            <w:r>
              <w:rPr>
                <w:rFonts w:hint="eastAsia"/>
                <w:vertAlign w:val="baseline"/>
                <w:lang w:val="en-US" w:eastAsia="zh-CN"/>
              </w:rPr>
              <w:t>3</w:t>
            </w:r>
          </w:p>
        </w:tc>
        <w:tc>
          <w:tcPr>
            <w:tcW w:w="1420" w:type="dxa"/>
          </w:tcPr>
          <w:p>
            <w:pPr>
              <w:rPr>
                <w:rFonts w:hint="default"/>
                <w:vertAlign w:val="baseline"/>
                <w:lang w:val="en-US" w:eastAsia="zh-CN"/>
              </w:rPr>
            </w:pPr>
            <w:r>
              <w:rPr>
                <w:rFonts w:hint="eastAsia"/>
                <w:vertAlign w:val="baseline"/>
                <w:lang w:val="en-US" w:eastAsia="zh-CN"/>
              </w:rPr>
              <w:t>7</w:t>
            </w:r>
          </w:p>
        </w:tc>
        <w:tc>
          <w:tcPr>
            <w:tcW w:w="858" w:type="dxa"/>
          </w:tcPr>
          <w:p>
            <w:pPr>
              <w:rPr>
                <w:rFonts w:hint="default"/>
                <w:vertAlign w:val="baseline"/>
                <w:lang w:val="en-US" w:eastAsia="zh-CN"/>
              </w:rPr>
            </w:pPr>
            <w:r>
              <w:rPr>
                <w:rFonts w:hint="eastAsia"/>
                <w:vertAlign w:val="baseline"/>
                <w:lang w:val="en-US" w:eastAsia="zh-CN"/>
              </w:rPr>
              <w:t>13</w:t>
            </w:r>
          </w:p>
        </w:tc>
        <w:tc>
          <w:tcPr>
            <w:tcW w:w="1284" w:type="dxa"/>
          </w:tcPr>
          <w:p>
            <w:pPr>
              <w:rPr>
                <w:rFonts w:hint="default"/>
                <w:vertAlign w:val="baseline"/>
                <w:lang w:val="en-US" w:eastAsia="zh-CN"/>
              </w:rPr>
            </w:pPr>
            <w:r>
              <w:rPr>
                <w:rFonts w:hint="eastAsia"/>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pPr>
              <w:rPr>
                <w:rFonts w:hint="default"/>
                <w:vertAlign w:val="baseline"/>
                <w:lang w:val="en-US" w:eastAsia="zh-CN"/>
              </w:rPr>
            </w:pPr>
            <w:r>
              <w:rPr>
                <w:rFonts w:hint="eastAsia"/>
                <w:vertAlign w:val="baseline"/>
                <w:lang w:val="en-US" w:eastAsia="zh-CN"/>
              </w:rPr>
              <w:t>中文教研室</w:t>
            </w:r>
          </w:p>
        </w:tc>
        <w:tc>
          <w:tcPr>
            <w:tcW w:w="1419" w:type="dxa"/>
          </w:tcPr>
          <w:p>
            <w:pPr>
              <w:rPr>
                <w:rFonts w:hint="eastAsia"/>
                <w:vertAlign w:val="baseline"/>
                <w:lang w:val="en-US" w:eastAsia="zh-CN"/>
              </w:rPr>
            </w:pPr>
          </w:p>
        </w:tc>
        <w:tc>
          <w:tcPr>
            <w:tcW w:w="1419" w:type="dxa"/>
          </w:tcPr>
          <w:p>
            <w:pPr>
              <w:rPr>
                <w:rFonts w:hint="default"/>
                <w:vertAlign w:val="baseline"/>
                <w:lang w:val="en-US" w:eastAsia="zh-CN"/>
              </w:rPr>
            </w:pPr>
            <w:r>
              <w:rPr>
                <w:rFonts w:hint="eastAsia"/>
                <w:vertAlign w:val="baseline"/>
                <w:lang w:val="en-US" w:eastAsia="zh-CN"/>
              </w:rPr>
              <w:t>3</w:t>
            </w:r>
          </w:p>
        </w:tc>
        <w:tc>
          <w:tcPr>
            <w:tcW w:w="1420" w:type="dxa"/>
          </w:tcPr>
          <w:p>
            <w:pPr>
              <w:rPr>
                <w:rFonts w:hint="default"/>
                <w:vertAlign w:val="baseline"/>
                <w:lang w:val="en-US" w:eastAsia="zh-CN"/>
              </w:rPr>
            </w:pPr>
            <w:r>
              <w:rPr>
                <w:rFonts w:hint="eastAsia"/>
                <w:vertAlign w:val="baseline"/>
                <w:lang w:val="en-US" w:eastAsia="zh-CN"/>
              </w:rPr>
              <w:t>1</w:t>
            </w:r>
          </w:p>
        </w:tc>
        <w:tc>
          <w:tcPr>
            <w:tcW w:w="858" w:type="dxa"/>
          </w:tcPr>
          <w:p>
            <w:pPr>
              <w:rPr>
                <w:rFonts w:hint="default"/>
                <w:vertAlign w:val="baseline"/>
                <w:lang w:val="en-US" w:eastAsia="zh-CN"/>
              </w:rPr>
            </w:pPr>
            <w:r>
              <w:rPr>
                <w:rFonts w:hint="eastAsia"/>
                <w:vertAlign w:val="baseline"/>
                <w:lang w:val="en-US" w:eastAsia="zh-CN"/>
              </w:rPr>
              <w:t>4</w:t>
            </w:r>
          </w:p>
        </w:tc>
        <w:tc>
          <w:tcPr>
            <w:tcW w:w="1284"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pPr>
              <w:rPr>
                <w:rFonts w:hint="default"/>
                <w:vertAlign w:val="baseline"/>
                <w:lang w:val="en-US" w:eastAsia="zh-CN"/>
              </w:rPr>
            </w:pPr>
            <w:r>
              <w:rPr>
                <w:rFonts w:hint="eastAsia"/>
                <w:vertAlign w:val="baseline"/>
                <w:lang w:val="en-US" w:eastAsia="zh-CN"/>
              </w:rPr>
              <w:t>综合教研室</w:t>
            </w:r>
          </w:p>
        </w:tc>
        <w:tc>
          <w:tcPr>
            <w:tcW w:w="1419" w:type="dxa"/>
          </w:tcPr>
          <w:p>
            <w:pPr>
              <w:rPr>
                <w:rFonts w:hint="eastAsia"/>
                <w:vertAlign w:val="baseline"/>
                <w:lang w:val="en-US" w:eastAsia="zh-CN"/>
              </w:rPr>
            </w:pPr>
          </w:p>
        </w:tc>
        <w:tc>
          <w:tcPr>
            <w:tcW w:w="1419" w:type="dxa"/>
          </w:tcPr>
          <w:p>
            <w:pPr>
              <w:rPr>
                <w:rFonts w:hint="default"/>
                <w:vertAlign w:val="baseline"/>
                <w:lang w:val="en-US" w:eastAsia="zh-CN"/>
              </w:rPr>
            </w:pPr>
            <w:r>
              <w:rPr>
                <w:rFonts w:hint="eastAsia"/>
                <w:vertAlign w:val="baseline"/>
                <w:lang w:val="en-US" w:eastAsia="zh-CN"/>
              </w:rPr>
              <w:t>2</w:t>
            </w:r>
          </w:p>
        </w:tc>
        <w:tc>
          <w:tcPr>
            <w:tcW w:w="1420" w:type="dxa"/>
          </w:tcPr>
          <w:p>
            <w:pPr>
              <w:rPr>
                <w:rFonts w:hint="default"/>
                <w:vertAlign w:val="baseline"/>
                <w:lang w:val="en-US" w:eastAsia="zh-CN"/>
              </w:rPr>
            </w:pPr>
            <w:r>
              <w:rPr>
                <w:rFonts w:hint="eastAsia"/>
                <w:vertAlign w:val="baseline"/>
                <w:lang w:val="en-US" w:eastAsia="zh-CN"/>
              </w:rPr>
              <w:t>1</w:t>
            </w:r>
          </w:p>
        </w:tc>
        <w:tc>
          <w:tcPr>
            <w:tcW w:w="858" w:type="dxa"/>
          </w:tcPr>
          <w:p>
            <w:pPr>
              <w:rPr>
                <w:rFonts w:hint="default"/>
                <w:vertAlign w:val="baseline"/>
                <w:lang w:val="en-US" w:eastAsia="zh-CN"/>
              </w:rPr>
            </w:pPr>
            <w:r>
              <w:rPr>
                <w:rFonts w:hint="eastAsia"/>
                <w:vertAlign w:val="baseline"/>
                <w:lang w:val="en-US" w:eastAsia="zh-CN"/>
              </w:rPr>
              <w:t>3</w:t>
            </w:r>
          </w:p>
        </w:tc>
        <w:tc>
          <w:tcPr>
            <w:tcW w:w="1284"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pPr>
              <w:rPr>
                <w:rFonts w:hint="default"/>
                <w:vertAlign w:val="baseline"/>
                <w:lang w:val="en-US" w:eastAsia="zh-CN"/>
              </w:rPr>
            </w:pPr>
            <w:r>
              <w:rPr>
                <w:rFonts w:hint="eastAsia"/>
                <w:vertAlign w:val="baseline"/>
                <w:lang w:val="en-US" w:eastAsia="zh-CN"/>
              </w:rPr>
              <w:t>院部</w:t>
            </w:r>
          </w:p>
        </w:tc>
        <w:tc>
          <w:tcPr>
            <w:tcW w:w="1419" w:type="dxa"/>
          </w:tcPr>
          <w:p>
            <w:pPr>
              <w:rPr>
                <w:rFonts w:hint="default"/>
                <w:vertAlign w:val="baseline"/>
                <w:lang w:val="en-US" w:eastAsia="zh-CN"/>
              </w:rPr>
            </w:pPr>
            <w:r>
              <w:rPr>
                <w:rFonts w:hint="eastAsia"/>
                <w:vertAlign w:val="baseline"/>
                <w:lang w:val="en-US" w:eastAsia="zh-CN"/>
              </w:rPr>
              <w:t>1</w:t>
            </w:r>
          </w:p>
        </w:tc>
        <w:tc>
          <w:tcPr>
            <w:tcW w:w="1419" w:type="dxa"/>
          </w:tcPr>
          <w:p>
            <w:pPr>
              <w:rPr>
                <w:rFonts w:hint="default"/>
                <w:vertAlign w:val="baseline"/>
                <w:lang w:val="en-US" w:eastAsia="zh-CN"/>
              </w:rPr>
            </w:pPr>
            <w:r>
              <w:rPr>
                <w:rFonts w:hint="eastAsia"/>
                <w:vertAlign w:val="baseline"/>
                <w:lang w:val="en-US" w:eastAsia="zh-CN"/>
              </w:rPr>
              <w:t>2</w:t>
            </w:r>
          </w:p>
        </w:tc>
        <w:tc>
          <w:tcPr>
            <w:tcW w:w="1420" w:type="dxa"/>
          </w:tcPr>
          <w:p>
            <w:pPr>
              <w:rPr>
                <w:rFonts w:hint="default"/>
                <w:vertAlign w:val="baseline"/>
                <w:lang w:val="en-US" w:eastAsia="zh-CN"/>
              </w:rPr>
            </w:pPr>
            <w:r>
              <w:rPr>
                <w:rFonts w:hint="eastAsia"/>
                <w:vertAlign w:val="baseline"/>
                <w:lang w:val="en-US" w:eastAsia="zh-CN"/>
              </w:rPr>
              <w:t>2</w:t>
            </w:r>
          </w:p>
        </w:tc>
        <w:tc>
          <w:tcPr>
            <w:tcW w:w="858" w:type="dxa"/>
          </w:tcPr>
          <w:p>
            <w:pPr>
              <w:rPr>
                <w:rFonts w:hint="default"/>
                <w:vertAlign w:val="baseline"/>
                <w:lang w:val="en-US" w:eastAsia="zh-CN"/>
              </w:rPr>
            </w:pPr>
            <w:r>
              <w:rPr>
                <w:rFonts w:hint="eastAsia"/>
                <w:vertAlign w:val="baseline"/>
                <w:lang w:val="en-US" w:eastAsia="zh-CN"/>
              </w:rPr>
              <w:t>4</w:t>
            </w:r>
          </w:p>
        </w:tc>
        <w:tc>
          <w:tcPr>
            <w:tcW w:w="1284"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pPr>
              <w:rPr>
                <w:rFonts w:hint="default"/>
                <w:vertAlign w:val="baseline"/>
                <w:lang w:val="en-US" w:eastAsia="zh-CN"/>
              </w:rPr>
            </w:pPr>
            <w:r>
              <w:rPr>
                <w:rFonts w:hint="eastAsia"/>
                <w:vertAlign w:val="baseline"/>
                <w:lang w:val="en-US" w:eastAsia="zh-CN"/>
              </w:rPr>
              <w:t>总计</w:t>
            </w:r>
          </w:p>
        </w:tc>
        <w:tc>
          <w:tcPr>
            <w:tcW w:w="1419" w:type="dxa"/>
          </w:tcPr>
          <w:p>
            <w:pPr>
              <w:rPr>
                <w:rFonts w:hint="default"/>
                <w:vertAlign w:val="baseline"/>
                <w:lang w:val="en-US" w:eastAsia="zh-CN"/>
              </w:rPr>
            </w:pPr>
            <w:r>
              <w:rPr>
                <w:rFonts w:hint="eastAsia"/>
                <w:vertAlign w:val="baseline"/>
                <w:lang w:val="en-US" w:eastAsia="zh-CN"/>
              </w:rPr>
              <w:t>9</w:t>
            </w:r>
          </w:p>
        </w:tc>
        <w:tc>
          <w:tcPr>
            <w:tcW w:w="1419" w:type="dxa"/>
          </w:tcPr>
          <w:p>
            <w:pPr>
              <w:rPr>
                <w:rFonts w:hint="default"/>
                <w:vertAlign w:val="baseline"/>
                <w:lang w:val="en-US" w:eastAsia="zh-CN"/>
              </w:rPr>
            </w:pPr>
            <w:r>
              <w:rPr>
                <w:rFonts w:hint="eastAsia"/>
                <w:vertAlign w:val="baseline"/>
                <w:lang w:val="en-US" w:eastAsia="zh-CN"/>
              </w:rPr>
              <w:t>23</w:t>
            </w:r>
          </w:p>
        </w:tc>
        <w:tc>
          <w:tcPr>
            <w:tcW w:w="1420" w:type="dxa"/>
          </w:tcPr>
          <w:p>
            <w:pPr>
              <w:rPr>
                <w:rFonts w:hint="default"/>
                <w:vertAlign w:val="baseline"/>
                <w:lang w:val="en-US" w:eastAsia="zh-CN"/>
              </w:rPr>
            </w:pPr>
            <w:r>
              <w:rPr>
                <w:rFonts w:hint="eastAsia"/>
                <w:vertAlign w:val="baseline"/>
                <w:lang w:val="en-US" w:eastAsia="zh-CN"/>
              </w:rPr>
              <w:t>34</w:t>
            </w:r>
          </w:p>
        </w:tc>
        <w:tc>
          <w:tcPr>
            <w:tcW w:w="858" w:type="dxa"/>
          </w:tcPr>
          <w:p>
            <w:pPr>
              <w:rPr>
                <w:rFonts w:hint="default"/>
                <w:vertAlign w:val="baseline"/>
                <w:lang w:val="en-US" w:eastAsia="zh-CN"/>
              </w:rPr>
            </w:pPr>
            <w:r>
              <w:rPr>
                <w:rFonts w:hint="eastAsia"/>
                <w:vertAlign w:val="baseline"/>
                <w:lang w:val="en-US" w:eastAsia="zh-CN"/>
              </w:rPr>
              <w:t>66</w:t>
            </w:r>
          </w:p>
        </w:tc>
        <w:tc>
          <w:tcPr>
            <w:tcW w:w="1284" w:type="dxa"/>
          </w:tcPr>
          <w:p>
            <w:pPr>
              <w:rPr>
                <w:rFonts w:hint="default"/>
                <w:vertAlign w:val="baseline"/>
                <w:lang w:val="en-US" w:eastAsia="zh-CN"/>
              </w:rPr>
            </w:pPr>
            <w:r>
              <w:rPr>
                <w:rFonts w:hint="eastAsia"/>
                <w:vertAlign w:val="baseline"/>
                <w:lang w:val="en-US" w:eastAsia="zh-CN"/>
              </w:rPr>
              <w:t>71</w:t>
            </w:r>
          </w:p>
        </w:tc>
      </w:tr>
    </w:tbl>
    <w:p>
      <w:pPr>
        <w:rPr>
          <w:rFonts w:hint="default"/>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2023年，我们将针对自己存在的缺点和不足，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1、加强学习，加强学术交流，努力站到学术前沿，奠定申报国家级课题的基础；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2、克服畏难情绪，发扬大艺敢为人先、永争第一的精神，争取在辽宁省各级各类比赛中获得更好成绩；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3、以大思政为引领，课程创新为切入点，协同攻关，争取在体育思政、外语思政、人文课程思政取得新成绩；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4、提高马院领导的学术水平，提高组织领导能力，提高工作标准，践行“思政铸魂、立德育、大爱情怀、守正创新”大艺精神，带领马院全体教师努力开拓前进。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2023年，马克思主义学院将既仰望星空，更加脚踏实地，激发全体教师积极性，以辽宁省党建样板支部建设为重点，以教育部思政课题申报为突破口，以第十二届思政教师比赛获得一等奖为重要目标，奋勇争先，超前筹划，早做准备，守正创新，攻坚克难，在一流马院建设征途上取得新成就，为实现大艺梦做出马院人自己的贡献！</w:t>
      </w:r>
    </w:p>
    <w:p>
      <w:pPr>
        <w:keepNext w:val="0"/>
        <w:keepLines w:val="0"/>
        <w:pageBreakBefore w:val="0"/>
        <w:widowControl w:val="0"/>
        <w:wordWrap/>
        <w:overflowPunct/>
        <w:autoSpaceDE w:val="0"/>
        <w:autoSpaceDN w:val="0"/>
        <w:bidi w:val="0"/>
        <w:adjustRightInd w:val="0"/>
        <w:snapToGrid w:val="0"/>
        <w:spacing w:line="240" w:lineRule="auto"/>
        <w:ind w:firstLine="420" w:firstLineChars="200"/>
        <w:jc w:val="left"/>
        <w:rPr>
          <w:rFonts w:hint="default"/>
          <w:lang w:val="en-US" w:eastAsia="zh-CN"/>
        </w:rPr>
      </w:pP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kMTIwZDZmZmE4YTI1OTk1YWY2NGYyODIyOWJmZjUifQ=="/>
  </w:docVars>
  <w:rsids>
    <w:rsidRoot w:val="0B2A198B"/>
    <w:rsid w:val="00D47AE8"/>
    <w:rsid w:val="03502821"/>
    <w:rsid w:val="054D5533"/>
    <w:rsid w:val="06593C74"/>
    <w:rsid w:val="08EB071C"/>
    <w:rsid w:val="09063C0C"/>
    <w:rsid w:val="0B2A198B"/>
    <w:rsid w:val="0E572021"/>
    <w:rsid w:val="116D43A3"/>
    <w:rsid w:val="124D5F87"/>
    <w:rsid w:val="129716DA"/>
    <w:rsid w:val="13FB5A2B"/>
    <w:rsid w:val="14046E0D"/>
    <w:rsid w:val="14401151"/>
    <w:rsid w:val="17363018"/>
    <w:rsid w:val="19046A09"/>
    <w:rsid w:val="1A741AFA"/>
    <w:rsid w:val="2E617327"/>
    <w:rsid w:val="2EC11C2B"/>
    <w:rsid w:val="30B96975"/>
    <w:rsid w:val="32512C66"/>
    <w:rsid w:val="33FA6EE3"/>
    <w:rsid w:val="43841B44"/>
    <w:rsid w:val="47E35330"/>
    <w:rsid w:val="484A52B0"/>
    <w:rsid w:val="4A4A4F99"/>
    <w:rsid w:val="50F40466"/>
    <w:rsid w:val="52D61131"/>
    <w:rsid w:val="58737CFA"/>
    <w:rsid w:val="595A69AF"/>
    <w:rsid w:val="62396623"/>
    <w:rsid w:val="63E31EBA"/>
    <w:rsid w:val="69BE4C1E"/>
    <w:rsid w:val="6A1160AC"/>
    <w:rsid w:val="70111993"/>
    <w:rsid w:val="75614511"/>
    <w:rsid w:val="7E2D3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10143</Words>
  <Characters>10747</Characters>
  <Lines>0</Lines>
  <Paragraphs>0</Paragraphs>
  <TotalTime>168</TotalTime>
  <ScaleCrop>false</ScaleCrop>
  <LinksUpToDate>false</LinksUpToDate>
  <CharactersWithSpaces>10835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2022-12-12T23:59:00Z</dcterms:created>
  <dc:creator>大连大艺任引沁</dc:creator>
  <cp:lastModifiedBy>大连大艺任引沁</cp:lastModifiedBy>
  <dcterms:modified xsi:type="dcterms:W3CDTF">2024-02-01T15:04:32Z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8A31CF4D13E94912B97F8371DCDCC5DC_13</vt:lpwstr>
  </property>
</Properties>
</file>